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536"/>
        <w:gridCol w:w="4537"/>
      </w:tblGrid>
      <w:tr w:rsidRPr="00336DC2" w:rsidR="003418D7" w:rsidTr="004B6CF2" w14:paraId="1B924757" w14:textId="77777777">
        <w:tc>
          <w:tcPr>
            <w:tcW w:w="2500" w:type="pct"/>
          </w:tcPr>
          <w:p w:rsidRPr="00336DC2" w:rsidR="003418D7" w:rsidP="004B6CF2" w:rsidRDefault="00F71EFD" w14:paraId="04FEBD92" w14:textId="77777777">
            <w:r>
              <w:rPr>
                <w:noProof/>
                <w:lang w:val="en-US"/>
              </w:rPr>
              <w:drawing>
                <wp:inline distT="0" distB="0" distL="0" distR="0" wp14:anchorId="2E6FE9ED" wp14:editId="166DF4EE">
                  <wp:extent cx="1799590" cy="1558290"/>
                  <wp:effectExtent l="0" t="0" r="0" b="3810"/>
                  <wp:docPr id="4" name="Picture 4" title="CoRLogo_H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2500" w:type="pct"/>
          </w:tcPr>
          <w:p w:rsidRPr="00CA30BB" w:rsidR="003418D7" w:rsidP="004B6CF2" w:rsidRDefault="003418D7" w14:paraId="3BBB4D53" w14:textId="77777777"/>
        </w:tc>
      </w:tr>
      <w:tr w:rsidRPr="00336DC2" w:rsidR="00165D30" w:rsidTr="004B6CF2" w14:paraId="6496A9F6" w14:textId="77777777">
        <w:tc>
          <w:tcPr>
            <w:tcW w:w="5000" w:type="pct"/>
            <w:gridSpan w:val="2"/>
          </w:tcPr>
          <w:p w:rsidRPr="00336DC2" w:rsidR="00165D30" w:rsidP="005712C8" w:rsidRDefault="00DF2221" w14:paraId="55C79472" w14:textId="77777777">
            <w:pPr>
              <w:jc w:val="right"/>
            </w:pPr>
            <w:r>
              <w:rPr>
                <w:b/>
                <w:sz w:val="28"/>
              </w:rPr>
              <w:t>ENVE-VII/027</w:t>
            </w:r>
          </w:p>
        </w:tc>
      </w:tr>
      <w:tr w:rsidRPr="00336DC2" w:rsidR="00165D30" w:rsidTr="004B6CF2" w14:paraId="2AE1FD78" w14:textId="77777777">
        <w:tc>
          <w:tcPr>
            <w:tcW w:w="5000" w:type="pct"/>
            <w:gridSpan w:val="2"/>
          </w:tcPr>
          <w:p w:rsidRPr="00336DC2" w:rsidR="004E2B8B" w:rsidP="002134B6" w:rsidRDefault="004E2B8B" w14:paraId="03032653" w14:textId="77777777">
            <w:pPr>
              <w:jc w:val="center"/>
              <w:rPr>
                <w:b/>
                <w:bCs/>
                <w:sz w:val="28"/>
                <w:szCs w:val="28"/>
              </w:rPr>
            </w:pPr>
            <w:r>
              <w:rPr>
                <w:b/>
                <w:color w:val="000000" w:themeColor="text1"/>
                <w:sz w:val="28"/>
              </w:rPr>
              <w:t>150. plenarno zasjedanje, 29. i 30. lipnja 2022.</w:t>
            </w:r>
          </w:p>
        </w:tc>
      </w:tr>
    </w:tbl>
    <w:p w:rsidRPr="00336DC2" w:rsidR="00165D30" w:rsidP="005712C8" w:rsidRDefault="009E28F6" w14:paraId="3AC5AABB" w14:textId="77777777">
      <w:r>
        <w:rPr>
          <w:noProof/>
          <w:lang w:val="en-US"/>
        </w:rPr>
        <mc:AlternateContent>
          <mc:Choice Requires="wps">
            <w:drawing>
              <wp:anchor distT="0" distB="0" distL="114300" distR="114300" simplePos="0" relativeHeight="251658240" behindDoc="1" locked="0" layoutInCell="0" allowOverlap="1" wp14:editId="7E00B1C1" wp14:anchorId="1359FB0C">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30" w:rsidRDefault="00165D30" w14:paraId="50B109F7" w14:textId="77777777">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59FB0C">
                <v:stroke joinstyle="miter"/>
                <v:path gradientshapeok="t" o:connecttype="rect"/>
              </v:shapetype>
              <v:shape id="Text Box 3"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00165D30" w:rsidRDefault="00165D30" w14:paraId="50B109F7"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r>
        <w:rPr>
          <w:noProof/>
          <w:lang w:val="en-US"/>
        </w:rPr>
        <w:drawing>
          <wp:anchor distT="0" distB="0" distL="114300" distR="114300" simplePos="0" relativeHeight="251658241" behindDoc="0" locked="0" layoutInCell="1" allowOverlap="1" wp14:editId="31D5F2B6" wp14:anchorId="7BB0345E">
            <wp:simplePos x="0" y="0"/>
            <wp:positionH relativeFrom="column">
              <wp:posOffset>-38735</wp:posOffset>
            </wp:positionH>
            <wp:positionV relativeFrom="page">
              <wp:posOffset>10184765</wp:posOffset>
            </wp:positionV>
            <wp:extent cx="5779135" cy="29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p>
    <w:p w:rsidRPr="00CA30BB" w:rsidR="00165D30" w:rsidP="005712C8" w:rsidRDefault="00165D30" w14:paraId="4C339303" w14:textId="77777777"/>
    <w:p w:rsidRPr="00336DC2" w:rsidR="004B6CF2" w:rsidP="005712C8" w:rsidRDefault="00165D30" w14:paraId="719BB413" w14:textId="77777777">
      <w:pPr>
        <w:jc w:val="center"/>
        <w:rPr>
          <w:b/>
          <w:sz w:val="28"/>
          <w:szCs w:val="28"/>
        </w:rPr>
      </w:pPr>
      <w:r>
        <w:rPr>
          <w:b/>
          <w:sz w:val="28"/>
        </w:rPr>
        <w:t>MIŠLJENJE</w:t>
      </w:r>
    </w:p>
    <w:p w:rsidRPr="00CA30BB" w:rsidR="00DF2221" w:rsidP="00DF2221" w:rsidRDefault="00DF2221" w14:paraId="7D5842DF" w14:textId="77777777">
      <w:pPr>
        <w:suppressAutoHyphens/>
        <w:jc w:val="left"/>
        <w:rPr>
          <w:bCs/>
        </w:rPr>
      </w:pPr>
    </w:p>
    <w:p w:rsidRPr="00336DC2" w:rsidR="00DF2221" w:rsidP="00DF2221" w:rsidRDefault="00DF2221" w14:paraId="3E0A5C86" w14:textId="77777777">
      <w:pPr>
        <w:suppressAutoHyphens/>
        <w:jc w:val="center"/>
        <w:rPr>
          <w:b/>
          <w:bCs/>
          <w:sz w:val="28"/>
          <w:szCs w:val="28"/>
        </w:rPr>
      </w:pPr>
      <w:bookmarkStart w:name="_GoBack" w:id="0"/>
      <w:r>
        <w:rPr>
          <w:b/>
          <w:sz w:val="28"/>
        </w:rPr>
        <w:t>Ekološka tranzicija – Kako sa stajališta gradova i regija uravnotežiti društvenu prihvatljivost i ekološke zahtjeve radi izgradnje otpornih zajednica?</w:t>
      </w:r>
      <w:bookmarkEnd w:id="0"/>
    </w:p>
    <w:p w:rsidR="00DF2221" w:rsidP="00DF2221" w:rsidRDefault="00DF2221" w14:paraId="19A5CB9C" w14:textId="77777777">
      <w:pPr>
        <w:suppressAutoHyphens/>
        <w:jc w:val="left"/>
        <w:rPr>
          <w:b/>
          <w:bCs/>
          <w:highlight w:val="yellow"/>
        </w:rPr>
      </w:pPr>
    </w:p>
    <w:p w:rsidR="00B6459B" w:rsidDel="00326ACC" w:rsidP="00DF2221" w:rsidRDefault="00B6459B" w14:paraId="0880D8FF" w14:textId="77777777">
      <w:pPr>
        <w:suppressAutoHyphens/>
        <w:jc w:val="left"/>
        <w:rPr>
          <w:b/>
          <w:bCs/>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884617" w:rsidR="00B6459B" w:rsidTr="00625D3F" w14:paraId="614CB07C" w14:textId="77777777">
        <w:tc>
          <w:tcPr>
            <w:tcW w:w="9289" w:type="dxa"/>
            <w:tcMar>
              <w:top w:w="108" w:type="dxa"/>
            </w:tcMar>
          </w:tcPr>
          <w:p w:rsidR="00CF0490" w:rsidP="002973DD" w:rsidRDefault="00B6459B" w14:paraId="52116063" w14:textId="77777777">
            <w:pPr>
              <w:overflowPunct/>
              <w:adjustRightInd/>
              <w:textAlignment w:val="auto"/>
            </w:pPr>
            <w:r>
              <w:t>EUROPSKI ODBOR REGIJA</w:t>
            </w:r>
          </w:p>
          <w:p w:rsidR="00326ACC" w:rsidP="003326AC" w:rsidRDefault="00326ACC" w14:paraId="7FABA72E" w14:textId="77777777">
            <w:pPr>
              <w:overflowPunct/>
              <w:adjustRightInd/>
              <w:ind w:left="369"/>
              <w:textAlignment w:val="auto"/>
              <w:rPr>
                <w:lang w:val="en-US"/>
              </w:rPr>
            </w:pPr>
          </w:p>
          <w:p w:rsidRPr="00326ACC" w:rsidR="00326ACC" w:rsidP="00326ACC" w:rsidRDefault="00326ACC" w14:paraId="77397B28" w14:textId="77777777">
            <w:pPr>
              <w:numPr>
                <w:ilvl w:val="0"/>
                <w:numId w:val="4"/>
              </w:numPr>
              <w:tabs>
                <w:tab w:val="clear" w:pos="0"/>
              </w:tabs>
              <w:overflowPunct/>
              <w:adjustRightInd/>
              <w:textAlignment w:val="auto"/>
            </w:pPr>
            <w:r>
              <w:t>smatra da bi zelena tranzicija morala biti u središtu svih političkih odluka, pri čemu bi trebalo graditi nov, sustavan i integrirani pristup osmišljavanju i provedbi budućih politika i programa;</w:t>
            </w:r>
          </w:p>
          <w:p w:rsidRPr="00326ACC" w:rsidR="00326ACC" w:rsidP="00326ACC" w:rsidRDefault="00326ACC" w14:paraId="733699A6" w14:textId="77777777">
            <w:pPr>
              <w:numPr>
                <w:ilvl w:val="0"/>
                <w:numId w:val="4"/>
              </w:numPr>
              <w:tabs>
                <w:tab w:val="clear" w:pos="0"/>
              </w:tabs>
              <w:overflowPunct/>
              <w:adjustRightInd/>
              <w:textAlignment w:val="auto"/>
            </w:pPr>
            <w:r>
              <w:t>podržava definiranje Europe otporne na klimatske promjene, u skladu s misijom programa Obzor Europa, u kojoj se otpornost okolišnih, socijalnih i gospodarskih sustava kombinira s predanošću dugoročnom održivom razvoju koji podrazumijeva jednakost, socijalnu pravdu i rodnu ravnopravnost;</w:t>
            </w:r>
          </w:p>
          <w:p w:rsidR="007A5539" w:rsidP="00326ACC" w:rsidRDefault="00326ACC" w14:paraId="10B179B5" w14:textId="77777777">
            <w:pPr>
              <w:numPr>
                <w:ilvl w:val="0"/>
                <w:numId w:val="4"/>
              </w:numPr>
              <w:overflowPunct/>
              <w:adjustRightInd/>
              <w:textAlignment w:val="auto"/>
            </w:pPr>
            <w:r>
              <w:t>poziva na osiguravanje odgovarajućih uvjeta za razvoj socijalne ekonomije. Politički i pravni okvir ključan je za stvaranje povoljnog okružja za socijalnu ekonomiju;</w:t>
            </w:r>
          </w:p>
          <w:p w:rsidRPr="00326ACC" w:rsidR="00326ACC" w:rsidP="00326ACC" w:rsidRDefault="00AF213E" w14:paraId="0396C6BC" w14:textId="77777777">
            <w:pPr>
              <w:numPr>
                <w:ilvl w:val="0"/>
                <w:numId w:val="4"/>
              </w:numPr>
              <w:overflowPunct/>
              <w:adjustRightInd/>
              <w:textAlignment w:val="auto"/>
            </w:pPr>
            <w:r>
              <w:t>naglašava da bi poduzeća i industrija trebali podupirati napore za prilagodbu klimatskim promjenama te da bi trebalo uspostaviti pravna i financijska sredstva kako bi se izbjeglo da lokalno stanovništvo internalizira troškove negativnih vanjskih učinaka poslovanja;</w:t>
            </w:r>
          </w:p>
          <w:p w:rsidR="00326ACC" w:rsidP="00326ACC" w:rsidRDefault="00326ACC" w14:paraId="4A52D3B1" w14:textId="77777777">
            <w:pPr>
              <w:numPr>
                <w:ilvl w:val="0"/>
                <w:numId w:val="4"/>
              </w:numPr>
              <w:overflowPunct/>
              <w:adjustRightInd/>
              <w:textAlignment w:val="auto"/>
            </w:pPr>
            <w:r>
              <w:t>izričito ukazuje na to da su najvažniji fondovi (u okviru kohezijske politike EU-a te Mehanizam za oporavak i otpornost, Fond za pravednu tranziciju, Fond za modernizaciju itd.), kao i fondovi izravno namijenjeni lokalnoj i regionalnoj razini (LIFE, Instrument za povezivanje Europe itd.), kojima se nastoji poduprijeti zelena tranzicija, programirani na nacionalnoj razini te da obujam lokalnih i regionalnih projekata ovisi o smjernicama središnje vlasti;</w:t>
            </w:r>
          </w:p>
          <w:p w:rsidRPr="007A5539" w:rsidR="00326ACC" w:rsidP="00326ACC" w:rsidRDefault="00326ACC" w14:paraId="66900C62" w14:textId="77777777">
            <w:pPr>
              <w:numPr>
                <w:ilvl w:val="0"/>
                <w:numId w:val="4"/>
              </w:numPr>
              <w:overflowPunct/>
              <w:adjustRightInd/>
              <w:textAlignment w:val="auto"/>
            </w:pPr>
            <w:r>
              <w:t>ističe da bi, osim izravnog pristupa financiranju, lokalne i regionalne vlasti trebale dobiti odgovarajuću tehničku pomoć i potporu za izgradnju kapaciteta kako bi se iskoristile postojeće mogućnosti financiranja, pomoglo tim vlastima u osiguravanju istinske ravnoteže između privatnih i javnih sredstava te u većoj mjeri koristilo zelenu i održivu javnu nabavu za ulaganja.</w:t>
            </w:r>
          </w:p>
          <w:p w:rsidRPr="00884617" w:rsidR="00B6459B" w:rsidP="00625D3F" w:rsidRDefault="00B6459B" w14:paraId="3F37F8B3" w14:textId="77777777">
            <w:pPr>
              <w:overflowPunct/>
              <w:adjustRightInd/>
              <w:jc w:val="left"/>
              <w:textAlignment w:val="auto"/>
              <w:rPr>
                <w:szCs w:val="22"/>
                <w:lang w:val="en-US"/>
              </w:rPr>
            </w:pPr>
          </w:p>
        </w:tc>
      </w:tr>
    </w:tbl>
    <w:p w:rsidRPr="00CA30BB" w:rsidR="002134B6" w:rsidP="005712C8" w:rsidRDefault="002134B6" w14:paraId="561B6D7F" w14:textId="77777777">
      <w:pPr>
        <w:jc w:val="left"/>
        <w:sectPr w:rsidRPr="00CA30BB" w:rsidR="002134B6" w:rsidSect="0052466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5000" w:type="pct"/>
        <w:tblLook w:val="01E0" w:firstRow="1" w:lastRow="1" w:firstColumn="1" w:lastColumn="1" w:noHBand="0" w:noVBand="0"/>
      </w:tblPr>
      <w:tblGrid>
        <w:gridCol w:w="9073"/>
      </w:tblGrid>
      <w:tr w:rsidRPr="00336DC2" w:rsidR="00165D30" w:rsidTr="004B6CF2" w14:paraId="35FF03C3" w14:textId="77777777">
        <w:trPr>
          <w:trHeight w:val="12474"/>
        </w:trPr>
        <w:tc>
          <w:tcPr>
            <w:tcW w:w="5000" w:type="pct"/>
            <w:vAlign w:val="bottom"/>
          </w:tcPr>
          <w:p w:rsidR="00CF0490" w:rsidP="00B6459B" w:rsidRDefault="00B6459B" w14:paraId="754482EA" w14:textId="77777777">
            <w:pPr>
              <w:suppressAutoHyphens/>
              <w:rPr>
                <w:b/>
              </w:rPr>
            </w:pPr>
            <w:r>
              <w:rPr>
                <w:u w:val="single"/>
              </w:rPr>
              <w:lastRenderedPageBreak/>
              <w:t>Izvjestiteljica:</w:t>
            </w:r>
          </w:p>
          <w:p w:rsidR="00CF0490" w:rsidP="00B6459B" w:rsidRDefault="00CF0490" w14:paraId="605F4CC8" w14:textId="77777777">
            <w:pPr>
              <w:suppressAutoHyphens/>
              <w:rPr>
                <w:b/>
              </w:rPr>
            </w:pPr>
          </w:p>
          <w:p w:rsidRPr="00CF0490" w:rsidR="00B6459B" w:rsidP="00B6459B" w:rsidRDefault="00B6459B" w14:paraId="43118593" w14:textId="77777777">
            <w:pPr>
              <w:suppressAutoHyphens/>
            </w:pPr>
            <w:r>
              <w:t>Hanna Zdanowska (PL/EPP), gradonačelnica Łódźa</w:t>
            </w:r>
          </w:p>
          <w:p w:rsidRPr="00336DC2" w:rsidR="00B6459B" w:rsidP="003326AC" w:rsidRDefault="00B6459B" w14:paraId="123E27FB" w14:textId="77777777">
            <w:pPr>
              <w:suppressAutoHyphens/>
            </w:pPr>
          </w:p>
          <w:p w:rsidRPr="00336DC2" w:rsidR="00165D30" w:rsidP="005712C8" w:rsidRDefault="00165D30" w14:paraId="759077E9" w14:textId="77777777">
            <w:pPr>
              <w:rPr>
                <w:u w:val="single"/>
              </w:rPr>
            </w:pPr>
            <w:r>
              <w:rPr>
                <w:u w:val="single"/>
              </w:rPr>
              <w:t>Referentni dokument/i:</w:t>
            </w:r>
          </w:p>
          <w:p w:rsidRPr="00336DC2" w:rsidR="00386D6C" w:rsidP="005712C8" w:rsidRDefault="00386D6C" w14:paraId="42551A88" w14:textId="77777777"/>
          <w:p w:rsidRPr="00CA30BB" w:rsidR="00165D30" w:rsidRDefault="00BA0BA3" w14:paraId="55E7BB08" w14:textId="77777777">
            <w:r>
              <w:t>Zahtjev predsjedništva Vijeća za savjetovanje</w:t>
            </w:r>
          </w:p>
        </w:tc>
      </w:tr>
    </w:tbl>
    <w:p w:rsidRPr="00336DC2" w:rsidR="005712C8" w:rsidP="00DF2221" w:rsidRDefault="00165D30" w14:paraId="13403239" w14:textId="77777777">
      <w:pPr>
        <w:jc w:val="center"/>
        <w:rPr>
          <w:b/>
          <w:szCs w:val="22"/>
        </w:rPr>
      </w:pPr>
      <w:r>
        <w:br w:type="page"/>
      </w:r>
      <w:r>
        <w:rPr>
          <w:b/>
        </w:rPr>
        <w:lastRenderedPageBreak/>
        <w:t>Mišljenje Europskog odbora regija – Ekološka tranzicija – Kako sa stajališta gradova i regija uravnotežiti društvenu prihvatljivost i ekološke zahtjeve radi izgradnje otpornih zajednica?</w:t>
      </w:r>
    </w:p>
    <w:p w:rsidRPr="00CA30BB" w:rsidR="00DF2221" w:rsidP="00DF2221" w:rsidRDefault="00DF2221" w14:paraId="20D37B24" w14:textId="77777777">
      <w:pPr>
        <w:jc w:val="center"/>
      </w:pPr>
    </w:p>
    <w:p w:rsidRPr="00336DC2" w:rsidR="00C24F1F" w:rsidP="00386D6C" w:rsidRDefault="00C24F1F" w14:paraId="6C27E406" w14:textId="77777777">
      <w:r>
        <w:t>EUROPSKI ODBOR REGIJA</w:t>
      </w:r>
    </w:p>
    <w:p w:rsidRPr="00CA30BB" w:rsidR="00C24F1F" w:rsidP="00C24F1F" w:rsidRDefault="00C24F1F" w14:paraId="5163B31D" w14:textId="77777777">
      <w:pPr>
        <w:suppressAutoHyphens/>
      </w:pPr>
    </w:p>
    <w:p w:rsidRPr="00336DC2" w:rsidR="00C24F1F" w:rsidP="00C24F1F" w:rsidRDefault="00C24F1F" w14:paraId="78DB3FF7" w14:textId="77777777">
      <w:pPr>
        <w:suppressAutoHyphens/>
        <w:rPr>
          <w:b/>
          <w:bCs/>
        </w:rPr>
      </w:pPr>
      <w:r>
        <w:rPr>
          <w:b/>
        </w:rPr>
        <w:t>Opće napomene</w:t>
      </w:r>
    </w:p>
    <w:p w:rsidRPr="00CA30BB" w:rsidR="00C24F1F" w:rsidP="00C24F1F" w:rsidRDefault="00C24F1F" w14:paraId="0E31DE2B" w14:textId="77777777">
      <w:pPr>
        <w:suppressAutoHyphens/>
        <w:rPr>
          <w:b/>
          <w:bCs/>
        </w:rPr>
      </w:pPr>
    </w:p>
    <w:p w:rsidRPr="00336DC2" w:rsidR="00E67770" w:rsidP="00E46AAE" w:rsidRDefault="00C24F1F" w14:paraId="2A24DFC7" w14:textId="77777777">
      <w:pPr>
        <w:pStyle w:val="ListParagraph"/>
        <w:numPr>
          <w:ilvl w:val="0"/>
          <w:numId w:val="25"/>
        </w:numPr>
        <w:suppressAutoHyphens/>
        <w:overflowPunct w:val="0"/>
        <w:autoSpaceDE w:val="0"/>
        <w:autoSpaceDN w:val="0"/>
        <w:adjustRightInd w:val="0"/>
        <w:ind w:left="567" w:hanging="567"/>
        <w:textAlignment w:val="baseline"/>
      </w:pPr>
      <w:r>
        <w:t>pozdravlja zelenu tranziciju kao jedan od ključnih prioriteta francuskog predsjedništva jer prilagodba klimatskim promjenama i njihovo ublažavanje, obnova i zaštita biološke raznolikosti, osiguravanje teritorijalne otpornosti na prirodne katastrofe i promicanje zdravog okoliša i bolje kvalitete života pomažu u izgradnji otpornije Europe i postizanju ciljeva europskog zelenog plana i Pariškog sporazuma;</w:t>
      </w:r>
    </w:p>
    <w:p w:rsidRPr="00336DC2" w:rsidR="00E67770" w:rsidP="00CA30BB" w:rsidRDefault="00E67770" w14:paraId="63A9AC0F" w14:textId="77777777">
      <w:pPr>
        <w:pStyle w:val="ListParagraph"/>
        <w:suppressAutoHyphens/>
        <w:overflowPunct w:val="0"/>
        <w:autoSpaceDE w:val="0"/>
        <w:autoSpaceDN w:val="0"/>
        <w:adjustRightInd w:val="0"/>
        <w:ind w:left="567"/>
        <w:textAlignment w:val="baseline"/>
      </w:pPr>
    </w:p>
    <w:p w:rsidRPr="00336DC2" w:rsidR="00C24F1F" w:rsidP="00E46AAE" w:rsidRDefault="00E67770" w14:paraId="7F3AA252" w14:textId="77777777">
      <w:pPr>
        <w:pStyle w:val="ListParagraph"/>
        <w:numPr>
          <w:ilvl w:val="0"/>
          <w:numId w:val="25"/>
        </w:numPr>
        <w:suppressAutoHyphens/>
        <w:overflowPunct w:val="0"/>
        <w:autoSpaceDE w:val="0"/>
        <w:autoSpaceDN w:val="0"/>
        <w:adjustRightInd w:val="0"/>
        <w:ind w:left="567" w:hanging="567"/>
        <w:textAlignment w:val="baseline"/>
      </w:pPr>
      <w:r>
        <w:t>slaže se s objavljenom komunikacijom o novoj strategiji EU-a za prilagodbu klimatskim promjenama</w:t>
      </w:r>
      <w:r w:rsidRPr="00CA30BB">
        <w:rPr>
          <w:rStyle w:val="FootnoteReference"/>
        </w:rPr>
        <w:footnoteReference w:id="2"/>
      </w:r>
      <w:r>
        <w:t xml:space="preserve"> i posebnim izvješćem Međuvladinog panela o klimatskim promjenama (IPCC)</w:t>
      </w:r>
      <w:r w:rsidRPr="00CA30BB">
        <w:rPr>
          <w:rStyle w:val="FootnoteReference"/>
        </w:rPr>
        <w:footnoteReference w:id="3"/>
      </w:r>
      <w:r>
        <w:t xml:space="preserve"> te naglašava da zelena tranzicija nije moguća bez uključivanja lokalnih i regionalnih vlasti, stanovništva, poduzeća, inovacijskih centara i sveučilišta;</w:t>
      </w:r>
    </w:p>
    <w:p w:rsidRPr="00CA30BB" w:rsidR="00C24F1F" w:rsidP="00C24F1F" w:rsidRDefault="00C24F1F" w14:paraId="0772330E" w14:textId="77777777"/>
    <w:p w:rsidRPr="00336DC2" w:rsidR="00C24F1F" w:rsidP="00E46AAE" w:rsidRDefault="00C24F1F" w14:paraId="431D5EF3" w14:textId="77777777">
      <w:pPr>
        <w:pStyle w:val="ListParagraph"/>
        <w:numPr>
          <w:ilvl w:val="0"/>
          <w:numId w:val="25"/>
        </w:numPr>
        <w:ind w:left="567" w:hanging="567"/>
      </w:pPr>
      <w:r>
        <w:t>smatra da bi zelena tranzicija trebala biti u središtu svih političkih odluka kroz stvaranje novog, sustavnog i integriranog pristupa osmišljavanju i provedbi budućih politika i programa; naglašava da bi ta tranzicija trebala biti olakšana digitalnom tranzicijom i da bi trebala uključivati uvođenje i promicanje modernih digitalnih alata uz visoke standarde održivosti, uključujući snažne demokratske i tehnološke zaštitne mjere, i ulaganja u njih kao u ključne pokretače promjena; u tom pogledu, također je važno podržati slabije razvijene i ruralne regije i omogućiti im da sustignu one razvijenije kako bi se smanjile razlike između raznih područja;</w:t>
      </w:r>
    </w:p>
    <w:p w:rsidRPr="00CA30BB" w:rsidR="00C24F1F" w:rsidP="00C24F1F" w:rsidRDefault="00C24F1F" w14:paraId="58D07953" w14:textId="77777777"/>
    <w:p w:rsidRPr="00336DC2" w:rsidR="00C24F1F" w:rsidP="00E46AAE" w:rsidRDefault="00C24F1F" w14:paraId="50CB5851" w14:textId="77777777">
      <w:pPr>
        <w:pStyle w:val="ListParagraph"/>
        <w:numPr>
          <w:ilvl w:val="0"/>
          <w:numId w:val="25"/>
        </w:numPr>
        <w:ind w:left="567" w:hanging="567"/>
        <w:rPr>
          <w:rFonts w:asciiTheme="minorHAnsi" w:hAnsiTheme="minorHAnsi" w:eastAsiaTheme="minorEastAsia" w:cstheme="minorBidi"/>
        </w:rPr>
      </w:pPr>
      <w:r>
        <w:t>lokalna i regionalna razina temelj su izgradnje otpornosti. Važno je povećati osjećaj odgovornosti i zajednice na lokalnoj i regionalnoj razini, odnosno svih onih koji su dio lokalne strukture – javnih uprava, lokalnih i regionalnih vlasti, stanovnikâ i gospodarskih subjekata – no za to je potrebna odgovarajuća i sveobuhvatna institucijska i financijska potpora;</w:t>
      </w:r>
    </w:p>
    <w:p w:rsidRPr="00CA30BB" w:rsidR="00C24F1F" w:rsidP="00C24F1F" w:rsidRDefault="00C24F1F" w14:paraId="2407FC3C" w14:textId="77777777"/>
    <w:p w:rsidRPr="00336DC2" w:rsidR="00856169" w:rsidP="00E46AAE" w:rsidRDefault="00C24F1F" w14:paraId="61645759" w14:textId="77777777">
      <w:pPr>
        <w:pStyle w:val="ListParagraph"/>
        <w:numPr>
          <w:ilvl w:val="0"/>
          <w:numId w:val="25"/>
        </w:numPr>
        <w:suppressAutoHyphens/>
        <w:overflowPunct w:val="0"/>
        <w:autoSpaceDE w:val="0"/>
        <w:autoSpaceDN w:val="0"/>
        <w:adjustRightInd w:val="0"/>
        <w:ind w:left="567" w:hanging="567"/>
        <w:textAlignment w:val="baseline"/>
      </w:pPr>
      <w:r>
        <w:t>poziva na znatno jačanje cijelog sektora zdravstva i skrbi u svjetlu klimatske krize, krize biološke raznolikosti i rata u Ukrajini. Naime, zdravlje treba smatrati ključnim motivom i prioritetom zelene tranzicije te u skladu s preporukama Osmog programa djelovanja za okoliš treba ojačati sinergiju između klimatske i zdravstvene politike;</w:t>
      </w:r>
    </w:p>
    <w:p w:rsidRPr="00336DC2" w:rsidR="00856169" w:rsidP="00CA30BB" w:rsidRDefault="00856169" w14:paraId="6177CB18" w14:textId="77777777">
      <w:pPr>
        <w:pStyle w:val="ListParagraph"/>
        <w:suppressAutoHyphens/>
        <w:overflowPunct w:val="0"/>
        <w:autoSpaceDE w:val="0"/>
        <w:autoSpaceDN w:val="0"/>
        <w:adjustRightInd w:val="0"/>
        <w:ind w:left="0"/>
        <w:textAlignment w:val="baseline"/>
      </w:pPr>
    </w:p>
    <w:p w:rsidRPr="00336DC2" w:rsidR="00C24F1F" w:rsidP="00E46AAE" w:rsidRDefault="00856169" w14:paraId="4BB748C9" w14:textId="77777777">
      <w:pPr>
        <w:pStyle w:val="ListParagraph"/>
        <w:numPr>
          <w:ilvl w:val="0"/>
          <w:numId w:val="25"/>
        </w:numPr>
        <w:suppressAutoHyphens/>
        <w:overflowPunct w:val="0"/>
        <w:autoSpaceDE w:val="0"/>
        <w:autoSpaceDN w:val="0"/>
        <w:adjustRightInd w:val="0"/>
        <w:ind w:left="567" w:hanging="567"/>
        <w:textAlignment w:val="baseline"/>
      </w:pPr>
      <w:r>
        <w:t>smatra da je otporna zajednica sposobna izdržati i apsorbirati utjecaj klimatskih nepogoda i drugih poremećaja te se oporaviti od njihovih posljedica. Stoga je važno ublažiti negativne učinke, ali i stvoriti ozračje u kojem društvo, okoliš i gospodarstvo mogu napredovati uvođenjem niza rješenja za poticanje djelovanja;</w:t>
      </w:r>
    </w:p>
    <w:p w:rsidRPr="00CA30BB" w:rsidR="00C24F1F" w:rsidP="00C24F1F" w:rsidRDefault="00C24F1F" w14:paraId="51702488" w14:textId="77777777">
      <w:pPr>
        <w:suppressAutoHyphens/>
      </w:pPr>
    </w:p>
    <w:p w:rsidRPr="00336DC2" w:rsidR="00C24F1F" w:rsidP="00E46AAE" w:rsidRDefault="00C24F1F" w14:paraId="56364341" w14:textId="77777777">
      <w:pPr>
        <w:pStyle w:val="ListParagraph"/>
        <w:numPr>
          <w:ilvl w:val="0"/>
          <w:numId w:val="25"/>
        </w:numPr>
        <w:ind w:left="567" w:hanging="567"/>
      </w:pPr>
      <w:r>
        <w:lastRenderedPageBreak/>
        <w:t xml:space="preserve">naglašava da se otpornost zajednica može postići i razvojem otpornih političkih sustava koji rade na ravnopravnosti, solidarnosti, socijalnoj pravdi i rodnoj ravnopravnosti uključivanjem djece i mladih, a da se pritom nikoga ne zapostavi – posebno ne ranjive skupine. Osim toga, mogu se postići i uzimanjem u obzir prostornih raznolikosti, među ostalim u ruralnim, obalnim, planinskim i najudaljenijim regijama te na otocima i arhipelazima; </w:t>
      </w:r>
    </w:p>
    <w:p w:rsidRPr="00CA30BB" w:rsidR="00C24F1F" w:rsidP="00C24F1F" w:rsidRDefault="00C24F1F" w14:paraId="7ABF0A3F" w14:textId="77777777">
      <w:pPr>
        <w:suppressAutoHyphens/>
      </w:pPr>
    </w:p>
    <w:p w:rsidRPr="00CA30BB" w:rsidR="00856169" w:rsidP="00E46AAE" w:rsidRDefault="00C24F1F" w14:paraId="0DF919D6" w14:textId="77777777">
      <w:pPr>
        <w:pStyle w:val="ListParagraph"/>
        <w:numPr>
          <w:ilvl w:val="0"/>
          <w:numId w:val="25"/>
        </w:numPr>
        <w:suppressAutoHyphens/>
        <w:overflowPunct w:val="0"/>
        <w:autoSpaceDE w:val="0"/>
        <w:autoSpaceDN w:val="0"/>
        <w:adjustRightInd w:val="0"/>
        <w:ind w:left="567" w:hanging="567"/>
        <w:textAlignment w:val="baseline"/>
        <w:rPr>
          <w:color w:val="000000" w:themeColor="text1"/>
        </w:rPr>
      </w:pPr>
      <w:r>
        <w:t>naglašava da politike u vezi s metodama i tehnologijama zelene proizvodnje također moraju povećati konkurentnost malih i srednjih poduzeća, omogućiti stvaranje i razvoj zelenih radnih mjesta i poticati stjecanje vještina radnika;</w:t>
      </w:r>
    </w:p>
    <w:p w:rsidRPr="00CA30BB" w:rsidR="00856169" w:rsidP="00CA30BB" w:rsidRDefault="00856169" w14:paraId="2860DF77" w14:textId="77777777">
      <w:pPr>
        <w:pStyle w:val="ListParagraph"/>
        <w:suppressAutoHyphens/>
        <w:overflowPunct w:val="0"/>
        <w:autoSpaceDE w:val="0"/>
        <w:autoSpaceDN w:val="0"/>
        <w:adjustRightInd w:val="0"/>
        <w:ind w:left="0"/>
        <w:textAlignment w:val="baseline"/>
        <w:rPr>
          <w:color w:val="000000" w:themeColor="text1"/>
        </w:rPr>
      </w:pPr>
    </w:p>
    <w:p w:rsidRPr="00336DC2" w:rsidR="00C24F1F" w:rsidP="00E46AAE" w:rsidRDefault="00856169" w14:paraId="27699EF7" w14:textId="77777777">
      <w:pPr>
        <w:pStyle w:val="ListParagraph"/>
        <w:numPr>
          <w:ilvl w:val="0"/>
          <w:numId w:val="25"/>
        </w:numPr>
        <w:suppressAutoHyphens/>
        <w:overflowPunct w:val="0"/>
        <w:autoSpaceDE w:val="0"/>
        <w:autoSpaceDN w:val="0"/>
        <w:adjustRightInd w:val="0"/>
        <w:ind w:left="567" w:hanging="567"/>
        <w:textAlignment w:val="baseline"/>
        <w:rPr>
          <w:color w:val="000000" w:themeColor="text1"/>
        </w:rPr>
      </w:pPr>
      <w:r>
        <w:t>s obzirom na visoke cijene energije i rat u Ukrajini, ponavlja svoj poziv na potpunu zabranu uvoza plina, nafte i ugljena iz Rusije u Europu te potiče lokalne i regionalne vlasti da započnu s izradom kriznih planova kako bi se pripremile za posljedice takvih sankcija; smatra da je plan REPowerEU način da se ubrza energetska tranzicija i smanji ukupna ovisnost EU-a o uvozu energije i sirovina, čime će se ujedno smanjiti s time povezani politički, gospodarski i sigurnosni rizici; međutim, izražava duboko žaljenje zbog nedostatka jasnog upućivanja na ulogu gradova i regija u pogledu prevladavanja trenutačne energetske krize i pružanja dugotrajnih rješenja za tu krizu;</w:t>
      </w:r>
    </w:p>
    <w:p w:rsidRPr="00CA30BB" w:rsidR="00C24F1F" w:rsidP="00C24F1F" w:rsidRDefault="00C24F1F" w14:paraId="1A042F31" w14:textId="77777777">
      <w:pPr>
        <w:suppressAutoHyphens/>
      </w:pPr>
    </w:p>
    <w:p w:rsidRPr="00336DC2" w:rsidR="00C24F1F" w:rsidP="00E46AAE" w:rsidRDefault="00C24F1F" w14:paraId="2D932CE4" w14:textId="77777777">
      <w:pPr>
        <w:keepNext/>
        <w:keepLines/>
        <w:rPr>
          <w:i/>
          <w:iCs/>
        </w:rPr>
      </w:pPr>
      <w:r>
        <w:rPr>
          <w:i/>
        </w:rPr>
        <w:t xml:space="preserve">Odabir prave kombinacije politika za otporne sustave </w:t>
      </w:r>
    </w:p>
    <w:p w:rsidRPr="00CA30BB" w:rsidR="00C24F1F" w:rsidP="00E46AAE" w:rsidRDefault="00C24F1F" w14:paraId="022DE240" w14:textId="77777777">
      <w:pPr>
        <w:keepNext/>
        <w:keepLines/>
        <w:rPr>
          <w:bCs/>
        </w:rPr>
      </w:pPr>
    </w:p>
    <w:p w:rsidRPr="00336DC2" w:rsidR="00C24F1F" w:rsidP="00E46AAE" w:rsidRDefault="00C24F1F" w14:paraId="354D664D" w14:textId="77777777">
      <w:pPr>
        <w:pStyle w:val="ListParagraph"/>
        <w:numPr>
          <w:ilvl w:val="0"/>
          <w:numId w:val="25"/>
        </w:numPr>
        <w:suppressAutoHyphens/>
        <w:overflowPunct w:val="0"/>
        <w:autoSpaceDE w:val="0"/>
        <w:autoSpaceDN w:val="0"/>
        <w:adjustRightInd w:val="0"/>
        <w:ind w:left="567" w:hanging="567"/>
        <w:textAlignment w:val="baseline"/>
      </w:pPr>
      <w:r>
        <w:t>podržava definiranje Europe otporne na klimatske promjene, u skladu s misijom programa Obzor Europa, u kojoj se otpornost okolišnih, socijalnih i gospodarskih sustava kombinira s predanošću dugoročnom održivom razvoju koji podrazumijeva jednakost, socijalnu pravdu i rodnu ravnopravnost. Važno je uključiti djecu i mlade, nikoga ne zapostaviti i ojačati otpornost političkih sustava kako bi se promicale zajedničke vrijednosti, solidarnost i poštovanje različitosti, što se postiže uključivom društvenom preobrazbom;</w:t>
      </w:r>
    </w:p>
    <w:p w:rsidRPr="00CA30BB" w:rsidR="00C24F1F" w:rsidP="00CA30BB" w:rsidRDefault="00C24F1F" w14:paraId="755A6287" w14:textId="77777777">
      <w:pPr>
        <w:pStyle w:val="Header"/>
        <w:rPr>
          <w:color w:val="000000" w:themeColor="text1"/>
        </w:rPr>
      </w:pPr>
    </w:p>
    <w:p w:rsidRPr="00336DC2" w:rsidR="00C24F1F" w:rsidP="00E46AAE" w:rsidRDefault="00C24F1F" w14:paraId="2782BB9F" w14:textId="77777777">
      <w:pPr>
        <w:pStyle w:val="Header"/>
        <w:numPr>
          <w:ilvl w:val="0"/>
          <w:numId w:val="25"/>
        </w:numPr>
        <w:overflowPunct/>
        <w:autoSpaceDE/>
        <w:autoSpaceDN/>
        <w:adjustRightInd/>
        <w:ind w:left="567" w:hanging="567"/>
        <w:textAlignment w:val="auto"/>
        <w:rPr>
          <w:color w:val="000000" w:themeColor="text1"/>
        </w:rPr>
      </w:pPr>
      <w:r>
        <w:t>naglašava, u skladu s komunikacijom o novoj strategiji za prilagodbu klimatskim promjenama, potrebu za sustavnim i informiranim odgovorom na klimatske promjene što je prije moguće; napominje da je otpornost složen koncept koji iziskuje integrirana, višesektorska i fleksibilna rješenja, razvijena u skladu s teritorijalnim pristupom i temeljena na činjenicama; naglašava da je za izgradnju otpornih sustava potrebno odabrati ispravne prioritete, ali i da je nužna sinergija raznih politika kojima se podržava tranzicija prema održivosti određenog područja koje se može nositi s krizama i šokovima i pritom se priprema za ograničavanje njihovih trenutačnih i očekivanih posljedica;</w:t>
      </w:r>
    </w:p>
    <w:p w:rsidRPr="00CA30BB" w:rsidR="00C24F1F" w:rsidP="00C24F1F" w:rsidRDefault="00C24F1F" w14:paraId="5D648FDD" w14:textId="77777777">
      <w:pPr>
        <w:pStyle w:val="Header"/>
      </w:pPr>
    </w:p>
    <w:p w:rsidRPr="00CA30BB" w:rsidR="00C24F1F" w:rsidP="00E46AAE" w:rsidRDefault="00C24F1F" w14:paraId="75EFE799" w14:textId="77777777">
      <w:pPr>
        <w:pStyle w:val="Header"/>
        <w:numPr>
          <w:ilvl w:val="0"/>
          <w:numId w:val="25"/>
        </w:numPr>
        <w:overflowPunct/>
        <w:autoSpaceDE/>
        <w:autoSpaceDN/>
        <w:adjustRightInd/>
        <w:ind w:left="567" w:hanging="567"/>
        <w:textAlignment w:val="auto"/>
        <w:rPr>
          <w:color w:val="000000" w:themeColor="text1"/>
        </w:rPr>
      </w:pPr>
      <w:r>
        <w:t>stoga predlaže da projekti ulaganja uključuju analize klimatskih rizika i analize osjetljivosti na klimatske promjene i da se scenariji troškova i koristi prilagode u skladu s tim;</w:t>
      </w:r>
    </w:p>
    <w:p w:rsidRPr="00CA30BB" w:rsidR="00856169" w:rsidP="00CA30BB" w:rsidRDefault="00856169" w14:paraId="0F94E261" w14:textId="77777777">
      <w:pPr>
        <w:pStyle w:val="Header"/>
        <w:overflowPunct/>
        <w:autoSpaceDE/>
        <w:autoSpaceDN/>
        <w:adjustRightInd/>
        <w:textAlignment w:val="auto"/>
        <w:rPr>
          <w:color w:val="000000" w:themeColor="text1"/>
        </w:rPr>
      </w:pPr>
    </w:p>
    <w:p w:rsidRPr="00336DC2" w:rsidR="00856169" w:rsidP="00E46AAE" w:rsidRDefault="00856169" w14:paraId="5DBD5836" w14:textId="77777777">
      <w:pPr>
        <w:pStyle w:val="Header"/>
        <w:numPr>
          <w:ilvl w:val="0"/>
          <w:numId w:val="25"/>
        </w:numPr>
        <w:overflowPunct/>
        <w:autoSpaceDE/>
        <w:autoSpaceDN/>
        <w:adjustRightInd/>
        <w:ind w:left="567" w:hanging="567"/>
        <w:textAlignment w:val="auto"/>
        <w:rPr>
          <w:color w:val="000000" w:themeColor="text1"/>
        </w:rPr>
      </w:pPr>
      <w:r>
        <w:t>također izražava zabrinutost zbog očekivanog asimetričnog regionalnog učinka energetske krize na gradove i regije EU-a, koji odražava njihove različite sposobnosti reagiranja na poremećaje u opskrbi energijom i povećanje cijena energije te poziva Europsku komisiju i države članice da te asimetrije uzmu u obzir pri osmišljavanju i provedbi odgovarajućih mjera;</w:t>
      </w:r>
    </w:p>
    <w:p w:rsidRPr="00CA30BB" w:rsidR="00C24F1F" w:rsidP="00C24F1F" w:rsidRDefault="00C24F1F" w14:paraId="43EDF991" w14:textId="77777777">
      <w:pPr>
        <w:pStyle w:val="Header"/>
      </w:pPr>
    </w:p>
    <w:p w:rsidRPr="00336DC2" w:rsidR="00C24F1F" w:rsidP="000E16F1" w:rsidRDefault="00C24F1F" w14:paraId="1B8C0360" w14:textId="77777777">
      <w:pPr>
        <w:pStyle w:val="Header"/>
        <w:keepNext/>
        <w:keepLines/>
        <w:numPr>
          <w:ilvl w:val="0"/>
          <w:numId w:val="25"/>
        </w:numPr>
        <w:overflowPunct/>
        <w:autoSpaceDE/>
        <w:autoSpaceDN/>
        <w:adjustRightInd/>
        <w:ind w:left="567" w:hanging="567"/>
        <w:textAlignment w:val="auto"/>
      </w:pPr>
      <w:r>
        <w:lastRenderedPageBreak/>
        <w:t>podržava prijedloge za brže uvođenje lokalnih mjera za obnovljivu energiju i energetsku učinkovitost kako bi se očuvali europski energetski suverenitet i sigurnost te suzbilo energetsko siromaštvo, posebno s obzirom na rat u Ukrajini i njegove negativne posljedice na energiju u Europi;</w:t>
      </w:r>
    </w:p>
    <w:p w:rsidRPr="00CA30BB" w:rsidR="00C24F1F" w:rsidP="00C24F1F" w:rsidRDefault="00C24F1F" w14:paraId="656A293A" w14:textId="77777777">
      <w:pPr>
        <w:pStyle w:val="Header"/>
      </w:pPr>
    </w:p>
    <w:p w:rsidRPr="00336DC2" w:rsidR="00C24F1F" w:rsidP="00E46AAE" w:rsidRDefault="00C24F1F" w14:paraId="34BC8E7B" w14:textId="77777777">
      <w:pPr>
        <w:pStyle w:val="Header"/>
        <w:numPr>
          <w:ilvl w:val="0"/>
          <w:numId w:val="25"/>
        </w:numPr>
        <w:overflowPunct/>
        <w:autoSpaceDE/>
        <w:autoSpaceDN/>
        <w:adjustRightInd/>
        <w:ind w:left="567" w:hanging="567"/>
        <w:textAlignment w:val="auto"/>
      </w:pPr>
      <w:r>
        <w:t>podržava planove i mjere za osiguravanje pravedne i uključive tranzicije u rudarskim područjima kako bi im se pomoglo da napreduju i prevladaju sve prepreke s kojima bi se mogli susresti, uz dostatna sredstva potrebna za to, te kako bi se stvorio novi model za njihov razvoj;</w:t>
      </w:r>
    </w:p>
    <w:p w:rsidRPr="00336DC2" w:rsidR="00856169" w:rsidP="00CA30BB" w:rsidRDefault="00856169" w14:paraId="40B2DA8D" w14:textId="77777777">
      <w:pPr>
        <w:pStyle w:val="Header"/>
        <w:overflowPunct/>
        <w:autoSpaceDE/>
        <w:autoSpaceDN/>
        <w:adjustRightInd/>
        <w:textAlignment w:val="auto"/>
      </w:pPr>
    </w:p>
    <w:p w:rsidRPr="00336DC2" w:rsidR="00856169" w:rsidP="00E46AAE" w:rsidRDefault="00856169" w14:paraId="28773335" w14:textId="77777777">
      <w:pPr>
        <w:pStyle w:val="Header"/>
        <w:numPr>
          <w:ilvl w:val="0"/>
          <w:numId w:val="25"/>
        </w:numPr>
        <w:overflowPunct/>
        <w:autoSpaceDE/>
        <w:autoSpaceDN/>
        <w:adjustRightInd/>
        <w:ind w:left="567" w:hanging="567"/>
        <w:textAlignment w:val="auto"/>
      </w:pPr>
      <w:r>
        <w:t>ističe da su glavne prepreke brzom uvođenju niskougljičnih tehnologija povezane s nedostatkom financijskih i ljudskih resursa, postojećim politikama, propisima i organizacijskim strukturama koje i dalje ovise o fosilnim gorivima, kao i sociokulturnim čimbenicima kao što je nedostatak društvene prihvaćenosti, jer bi to moglo dovesti do gubitka radnih mjesta i smanjenja broja stanovnika, posebno u rudarskim regijama; stoga smatra da bi inovacije trebale proizlaziti iz specifičnog lokalnog konteksta i imati izravan učinak na cjelokupni sustav i zajednicu te suzbijati procese koji uzrokuju nedostatak javne prihvaćenosti;</w:t>
      </w:r>
    </w:p>
    <w:p w:rsidRPr="00CA30BB" w:rsidR="008D438A" w:rsidP="00C24F1F" w:rsidRDefault="008D438A" w14:paraId="0D554BAE" w14:textId="77777777">
      <w:pPr>
        <w:pStyle w:val="Header"/>
      </w:pPr>
    </w:p>
    <w:p w:rsidRPr="00336DC2" w:rsidR="00C24F1F" w:rsidP="00E46AAE" w:rsidRDefault="00C24F1F" w14:paraId="1C450AC9" w14:textId="77777777">
      <w:pPr>
        <w:pStyle w:val="Header"/>
        <w:numPr>
          <w:ilvl w:val="0"/>
          <w:numId w:val="25"/>
        </w:numPr>
        <w:overflowPunct/>
        <w:autoSpaceDE/>
        <w:autoSpaceDN/>
        <w:adjustRightInd/>
        <w:ind w:left="567" w:hanging="567"/>
        <w:textAlignment w:val="auto"/>
      </w:pPr>
      <w:r>
        <w:t>poziva na potporu radi pospješivanja razvoja i pristupa rješenjima za aktivnu i javnu mobilnost i prijevoz s nultom i niskom razinom emisija;</w:t>
      </w:r>
    </w:p>
    <w:p w:rsidRPr="00CA30BB" w:rsidR="00C24F1F" w:rsidP="00C24F1F" w:rsidRDefault="00C24F1F" w14:paraId="1FBB79D1" w14:textId="77777777">
      <w:pPr>
        <w:pStyle w:val="Header"/>
      </w:pPr>
    </w:p>
    <w:p w:rsidRPr="00336DC2" w:rsidR="00C24F1F" w:rsidP="00E46AAE" w:rsidRDefault="00C24F1F" w14:paraId="763D14A0" w14:textId="77777777">
      <w:pPr>
        <w:pStyle w:val="Header"/>
        <w:numPr>
          <w:ilvl w:val="0"/>
          <w:numId w:val="25"/>
        </w:numPr>
        <w:overflowPunct/>
        <w:autoSpaceDE/>
        <w:autoSpaceDN/>
        <w:adjustRightInd/>
        <w:ind w:left="567" w:hanging="567"/>
        <w:textAlignment w:val="auto"/>
        <w:rPr>
          <w:color w:val="000000" w:themeColor="text1"/>
        </w:rPr>
      </w:pPr>
      <w:r>
        <w:t>napominje da su klimatske promjene možda najveća prijetnja globalnom zdravlju u 21. stoljeću te stoga poziva na multidisciplinarnu i višesektorsku suradnju i usvajanje pristupa „jedno zdravlje” koji bi doveli do koordiniranog djelovanja na svim razinama upravljanja u međunarodnim agencijama, nevladinim organizacijama i akademskim institucijama u cilju zaštite prirode i obnove biološke raznolikosti, staništâ i ekosustavâ;</w:t>
      </w:r>
      <w:r>
        <w:rPr>
          <w:color w:val="000000" w:themeColor="text1"/>
        </w:rPr>
        <w:t xml:space="preserve"> </w:t>
      </w:r>
    </w:p>
    <w:p w:rsidRPr="00CA30BB" w:rsidR="00C24F1F" w:rsidP="00C24F1F" w:rsidRDefault="00C24F1F" w14:paraId="204D25D4" w14:textId="77777777">
      <w:pPr>
        <w:pStyle w:val="Header"/>
        <w:rPr>
          <w:color w:val="000000" w:themeColor="text1"/>
        </w:rPr>
      </w:pPr>
    </w:p>
    <w:p w:rsidRPr="00336DC2" w:rsidR="00C24F1F" w:rsidP="00E46AAE" w:rsidRDefault="00C24F1F" w14:paraId="4AB0F87A" w14:textId="77777777">
      <w:pPr>
        <w:pStyle w:val="Header"/>
        <w:numPr>
          <w:ilvl w:val="0"/>
          <w:numId w:val="25"/>
        </w:numPr>
        <w:overflowPunct/>
        <w:autoSpaceDE/>
        <w:autoSpaceDN/>
        <w:adjustRightInd/>
        <w:ind w:left="567" w:hanging="567"/>
        <w:textAlignment w:val="auto"/>
        <w:rPr>
          <w:color w:val="000000" w:themeColor="text1"/>
        </w:rPr>
      </w:pPr>
      <w:r>
        <w:t>ističe da su mjere za smanjenje rizika od katastrofa koje se temelje na ekosustavnom pristupu troškovno učinkoviti instrumenti politike, no one nisu u potpunosti iskorištene, pa bi njihov potencijal trebalo dodatno razviti na razini EU-a</w:t>
      </w:r>
      <w:r w:rsidRPr="00CA30BB">
        <w:rPr>
          <w:sz w:val="24"/>
          <w:szCs w:val="24"/>
          <w:vertAlign w:val="superscript"/>
        </w:rPr>
        <w:footnoteReference w:id="4"/>
      </w:r>
      <w:r>
        <w:t>;</w:t>
      </w:r>
    </w:p>
    <w:p w:rsidRPr="00CA30BB" w:rsidR="00C24F1F" w:rsidP="00C24F1F" w:rsidRDefault="00C24F1F" w14:paraId="02393E96" w14:textId="77777777">
      <w:pPr>
        <w:pStyle w:val="Header"/>
        <w:rPr>
          <w:color w:val="000000" w:themeColor="text1"/>
        </w:rPr>
      </w:pPr>
    </w:p>
    <w:p w:rsidRPr="00336DC2" w:rsidR="00C24F1F" w:rsidP="00E46AAE" w:rsidRDefault="00C24F1F" w14:paraId="6922A0EF" w14:textId="77777777">
      <w:pPr>
        <w:pStyle w:val="Header"/>
        <w:numPr>
          <w:ilvl w:val="0"/>
          <w:numId w:val="25"/>
        </w:numPr>
        <w:overflowPunct/>
        <w:autoSpaceDE/>
        <w:autoSpaceDN/>
        <w:adjustRightInd/>
        <w:ind w:left="567" w:hanging="567"/>
        <w:textAlignment w:val="auto"/>
        <w:rPr>
          <w:color w:val="000000" w:themeColor="text1"/>
        </w:rPr>
      </w:pPr>
      <w:r>
        <w:t xml:space="preserve">poziva na ubrzavanje prelaska na kružno gospodarstvo i naglašava ulogu lokalnih i regionalnih vlasti u tom procesu; poziva na promicanje novih poslovnih modela i snažnijih alata, posebno u okviru općinskih službi i njihovih mehanizama za veću odgovornost potrošača i javno-privatna partnerstva, kao i na s time povezano promicanje održivih modela potrošnje i proizvodnje te zelene ili održive javne nabave; </w:t>
      </w:r>
    </w:p>
    <w:p w:rsidRPr="00CA30BB" w:rsidR="00C24F1F" w:rsidP="00C24F1F" w:rsidRDefault="00C24F1F" w14:paraId="7084E39D" w14:textId="77777777">
      <w:pPr>
        <w:pStyle w:val="Header"/>
      </w:pPr>
    </w:p>
    <w:p w:rsidRPr="00336DC2" w:rsidR="00C24F1F" w:rsidP="00E46AAE" w:rsidRDefault="00C24F1F" w14:paraId="351CF95E" w14:textId="77777777">
      <w:pPr>
        <w:pStyle w:val="Header"/>
        <w:numPr>
          <w:ilvl w:val="0"/>
          <w:numId w:val="25"/>
        </w:numPr>
        <w:overflowPunct/>
        <w:autoSpaceDE/>
        <w:autoSpaceDN/>
        <w:adjustRightInd/>
        <w:ind w:left="567" w:hanging="567"/>
        <w:textAlignment w:val="auto"/>
        <w:rPr>
          <w:color w:val="000000" w:themeColor="text1"/>
        </w:rPr>
      </w:pPr>
      <w:r>
        <w:rPr>
          <w:color w:val="000000" w:themeColor="text1"/>
        </w:rPr>
        <w:t>zalaže se za uvođenje inovativnih rješenja za upravljanje u javnom sektoru, uz primjenu koncepta „živog laboratorija”; naglašava da je za izgradnju otpornih zajednica bitno pružiti im podršku u pronalaženju djelotvornih načina za prevladavanje izazova iskorištavanjem kreativnosti i inovativnosti korisnika javnih usluga;</w:t>
      </w:r>
    </w:p>
    <w:p w:rsidRPr="00CA30BB" w:rsidR="00C24F1F" w:rsidP="00C24F1F" w:rsidRDefault="00C24F1F" w14:paraId="33976464" w14:textId="77777777">
      <w:pPr>
        <w:pStyle w:val="Header"/>
      </w:pPr>
    </w:p>
    <w:p w:rsidRPr="00336DC2" w:rsidR="00C24F1F" w:rsidP="00E46AAE" w:rsidRDefault="00C24F1F" w14:paraId="51F3109E" w14:textId="77777777">
      <w:pPr>
        <w:pStyle w:val="Header"/>
        <w:numPr>
          <w:ilvl w:val="0"/>
          <w:numId w:val="25"/>
        </w:numPr>
        <w:overflowPunct/>
        <w:autoSpaceDE/>
        <w:autoSpaceDN/>
        <w:adjustRightInd/>
        <w:ind w:left="567" w:hanging="567"/>
        <w:textAlignment w:val="auto"/>
        <w:rPr>
          <w:color w:val="000000" w:themeColor="text1"/>
        </w:rPr>
      </w:pPr>
      <w:r>
        <w:lastRenderedPageBreak/>
        <w:t>poziva na to da se u postupcima ulaganja u obzir uzimaju prirodna rješenja. U okviru te inicijative, koja je dio nove strategije EU-a za prilagodbu klimatskim promjenama, prednost se daje prirodnim rješenjima</w:t>
      </w:r>
      <w:r w:rsidRPr="00CA30BB">
        <w:rPr>
          <w:sz w:val="24"/>
          <w:szCs w:val="24"/>
          <w:vertAlign w:val="superscript"/>
        </w:rPr>
        <w:footnoteReference w:id="5"/>
      </w:r>
      <w:r>
        <w:t>;</w:t>
      </w:r>
    </w:p>
    <w:p w:rsidRPr="000E16F1" w:rsidR="00C24F1F" w:rsidP="00CA30BB" w:rsidRDefault="00C24F1F" w14:paraId="74D15164" w14:textId="77777777">
      <w:pPr>
        <w:pStyle w:val="ListParagraph"/>
        <w:ind w:left="0"/>
        <w:rPr>
          <w:color w:val="000000" w:themeColor="text1"/>
          <w:sz w:val="20"/>
          <w:szCs w:val="20"/>
        </w:rPr>
      </w:pPr>
    </w:p>
    <w:p w:rsidRPr="00336DC2" w:rsidR="0003008B" w:rsidP="00E46AAE" w:rsidRDefault="00C24F1F" w14:paraId="1D2C5AEC" w14:textId="77777777">
      <w:pPr>
        <w:pStyle w:val="ListParagraph"/>
        <w:numPr>
          <w:ilvl w:val="0"/>
          <w:numId w:val="25"/>
        </w:numPr>
        <w:ind w:left="567" w:hanging="567"/>
      </w:pPr>
      <w:r>
        <w:t>pozdravlja inicijative (uključujući Sporazum gradonačelnika i europski klimatski pakt) kojima se lokalne i regionalne vlasti potiču na povećanje ambicija i transformativne mjere. Trebalo bi pojačati aktivnosti ambasadora tih inicijativa i preslikati ih drugdje kako bi se podigla svijest o klimi na svim razinama lokalne uprave i ubrzala njezina tranzicija;</w:t>
      </w:r>
    </w:p>
    <w:p w:rsidRPr="000E16F1" w:rsidR="0003008B" w:rsidP="00CA30BB" w:rsidRDefault="0003008B" w14:paraId="49A8D14C" w14:textId="77777777">
      <w:pPr>
        <w:pStyle w:val="ListParagraph"/>
        <w:ind w:left="0"/>
        <w:rPr>
          <w:sz w:val="20"/>
          <w:szCs w:val="20"/>
        </w:rPr>
      </w:pPr>
    </w:p>
    <w:p w:rsidRPr="00CA30BB" w:rsidR="0003008B" w:rsidP="00E46AAE" w:rsidRDefault="0003008B" w14:paraId="6C7227F9" w14:textId="77777777">
      <w:pPr>
        <w:pStyle w:val="ListParagraph"/>
        <w:numPr>
          <w:ilvl w:val="0"/>
          <w:numId w:val="25"/>
        </w:numPr>
        <w:ind w:left="567" w:hanging="567"/>
      </w:pPr>
      <w:r>
        <w:t>podržava smjernice o potporama za klimu, energiju i okoliš (CEEAG), kojima će se povećati djelotvornost napora za postizanje ciljeva europskog zelenog plana, posebno u pogledu obnove zgrada, biološke raznolikosti, čiste mobilnosti, obnovljive energije i učinkovitosti resursa u cilju podupiranja prelaska na kružno gospodarstvo;</w:t>
      </w:r>
    </w:p>
    <w:p w:rsidRPr="000E16F1" w:rsidR="0003008B" w:rsidP="00CA30BB" w:rsidRDefault="0003008B" w14:paraId="727473B7" w14:textId="77777777">
      <w:pPr>
        <w:pStyle w:val="ListParagraph"/>
        <w:ind w:left="0"/>
        <w:rPr>
          <w:sz w:val="20"/>
          <w:szCs w:val="20"/>
        </w:rPr>
      </w:pPr>
    </w:p>
    <w:p w:rsidRPr="00336DC2" w:rsidR="00C24F1F" w:rsidP="00E46AAE" w:rsidRDefault="0003008B" w14:paraId="788821D9" w14:textId="77777777">
      <w:pPr>
        <w:pStyle w:val="ListParagraph"/>
        <w:numPr>
          <w:ilvl w:val="0"/>
          <w:numId w:val="25"/>
        </w:numPr>
        <w:ind w:left="567" w:hanging="567"/>
      </w:pPr>
      <w:r>
        <w:t>poziva na osiguravanje odgovarajućih uvjeta za razvoj socijalne ekonomije. Politički i pravni okvir ključan je za stvaranje povoljnog okružja za socijalnu ekonomiju. To podrazumijeva okvir za oporezivanje, javnu nabavu i državne potpore, koji treba prilagoditi potrebama socijalne ekonomije;</w:t>
      </w:r>
    </w:p>
    <w:p w:rsidRPr="000E16F1" w:rsidR="00C24F1F" w:rsidP="00C24F1F" w:rsidRDefault="00C24F1F" w14:paraId="1987711A" w14:textId="77777777">
      <w:pPr>
        <w:rPr>
          <w:sz w:val="20"/>
        </w:rPr>
      </w:pPr>
    </w:p>
    <w:p w:rsidRPr="00336DC2" w:rsidR="00C24F1F" w:rsidP="00E46AAE" w:rsidRDefault="00C24F1F" w14:paraId="7C0AC23E" w14:textId="77777777">
      <w:pPr>
        <w:keepNext/>
        <w:keepLines/>
        <w:suppressAutoHyphens/>
        <w:rPr>
          <w:i/>
          <w:iCs/>
        </w:rPr>
      </w:pPr>
      <w:r>
        <w:rPr>
          <w:i/>
        </w:rPr>
        <w:t>Lokalne i regionalne vlasti kao ključni akteri u zelenoj tranziciji</w:t>
      </w:r>
    </w:p>
    <w:p w:rsidRPr="000E16F1" w:rsidR="00C24F1F" w:rsidP="00E46AAE" w:rsidRDefault="00C24F1F" w14:paraId="43CAAF85" w14:textId="77777777">
      <w:pPr>
        <w:keepNext/>
        <w:keepLines/>
        <w:suppressAutoHyphens/>
        <w:rPr>
          <w:sz w:val="20"/>
        </w:rPr>
      </w:pPr>
    </w:p>
    <w:p w:rsidRPr="00336DC2" w:rsidR="00C24F1F" w:rsidP="00E46AAE" w:rsidRDefault="00C24F1F" w14:paraId="51BC69D7" w14:textId="77777777">
      <w:pPr>
        <w:pStyle w:val="ListParagraph"/>
        <w:numPr>
          <w:ilvl w:val="0"/>
          <w:numId w:val="25"/>
        </w:numPr>
        <w:ind w:left="567" w:hanging="567"/>
        <w:rPr>
          <w:rFonts w:eastAsiaTheme="minorEastAsia"/>
        </w:rPr>
      </w:pPr>
      <w:r>
        <w:t xml:space="preserve">poziva na uspostavu okvira višerazinskog upravljanja koji dobro funkcionira, od lokalne, velegradske i regionalne do nacionalne, europske i globalne razine. Radikalne i trajne promjene načina života, koje su nužne za stvaranje pravednog, održivog, niskougljičnog i otpornog društva, zahtijevaju suradnju i odozdo prema gore i odozgo prema dolje; </w:t>
      </w:r>
    </w:p>
    <w:p w:rsidRPr="000E16F1" w:rsidR="00C24F1F" w:rsidP="00C24F1F" w:rsidRDefault="00C24F1F" w14:paraId="443545DB" w14:textId="77777777">
      <w:pPr>
        <w:rPr>
          <w:sz w:val="20"/>
        </w:rPr>
      </w:pPr>
    </w:p>
    <w:p w:rsidRPr="00336DC2" w:rsidR="00C24F1F" w:rsidP="00E46AAE" w:rsidRDefault="00C24F1F" w14:paraId="4AC5B9DA" w14:textId="77777777">
      <w:pPr>
        <w:pStyle w:val="ListParagraph"/>
        <w:numPr>
          <w:ilvl w:val="0"/>
          <w:numId w:val="25"/>
        </w:numPr>
        <w:ind w:left="567" w:hanging="567"/>
        <w:rPr>
          <w:rFonts w:eastAsiaTheme="minorEastAsia"/>
        </w:rPr>
      </w:pPr>
      <w:r>
        <w:t>ističe činjenicu da su lokalne i regionalne vlasti „vodeći dionici” u zelenoj tranziciji. Naime, one provode 70 % cjelokupnog zakonodavstva EU-a, 70 % mjera za ublažavanje klimatskih promjena, 90 % strategija za prilagodbu klimatskim promjenama i 65 % ciljeva održivog razvoja, a osim toga, upravljaju trećinom javnih rashoda i dvjema trećinama javnih ulaganja. One najbolje poznaju lokalne i regionalne izazove te bi stoga trebale raspolagati instrumentima za pronalaženje sustavnih rješenja koja najbolje odgovaraju lokalnim okolnostima; međutim, ta uloga ne znači da je odgovornost isključivo na njima. Više razine vlasti obvezne su podupirati lokalne i regionalne vlasti u svim njihovim nastojanjima da to učine;</w:t>
      </w:r>
    </w:p>
    <w:p w:rsidRPr="000E16F1" w:rsidR="00C24F1F" w:rsidP="00C24F1F" w:rsidRDefault="00C24F1F" w14:paraId="1E77AB20" w14:textId="77777777">
      <w:pPr>
        <w:rPr>
          <w:sz w:val="20"/>
        </w:rPr>
      </w:pPr>
    </w:p>
    <w:p w:rsidRPr="00336DC2" w:rsidR="00AA3C21" w:rsidP="00E46AAE" w:rsidRDefault="00C24F1F" w14:paraId="6FECB6AD" w14:textId="77777777">
      <w:pPr>
        <w:pStyle w:val="ListParagraph"/>
        <w:numPr>
          <w:ilvl w:val="0"/>
          <w:numId w:val="25"/>
        </w:numPr>
        <w:ind w:left="567" w:hanging="567"/>
      </w:pPr>
      <w:r>
        <w:t>potiče veću primjenu participativnog upravljanja (rasprave, proračuni itd.) i upravljanja s više dionika jer se time povećavaju izgledi za optimalna zelena ulaganja u malim ruralnim mjestima te u gradovima i regijama; ističe da lokalne i regionalne vlasti podupiru proces donošenja odluka u svim fazama i pružaju aktivnu potporu u okviru političkih strategija;</w:t>
      </w:r>
    </w:p>
    <w:p w:rsidRPr="000E16F1" w:rsidR="00AA3C21" w:rsidP="00CA30BB" w:rsidRDefault="00AA3C21" w14:paraId="6728F2B2" w14:textId="77777777">
      <w:pPr>
        <w:pStyle w:val="ListParagraph"/>
        <w:ind w:left="0"/>
        <w:rPr>
          <w:sz w:val="20"/>
          <w:szCs w:val="20"/>
        </w:rPr>
      </w:pPr>
    </w:p>
    <w:p w:rsidRPr="00CA30BB" w:rsidR="00AA3C21" w:rsidP="00E46AAE" w:rsidRDefault="00AA3C21" w14:paraId="28F38D94" w14:textId="77777777">
      <w:pPr>
        <w:pStyle w:val="ListParagraph"/>
        <w:numPr>
          <w:ilvl w:val="0"/>
          <w:numId w:val="25"/>
        </w:numPr>
        <w:ind w:left="567" w:hanging="567"/>
      </w:pPr>
      <w:r>
        <w:t>naglašava da je razmišljanje na globalnoj razini i djelovanje na lokalnoj jedini način za postizanje ambicioznih klimatskih ciljeva iz Pariškog sporazuma. U tom kontekstu Odbor poziva UNFCCC da aktivno i smisleno uključi lokalne i regionalne vlasti kao vjerodostojnog partnera Konferencije stranaka za djelovanje u području klime;</w:t>
      </w:r>
    </w:p>
    <w:p w:rsidRPr="00336DC2" w:rsidR="00C24F1F" w:rsidP="00E46AAE" w:rsidRDefault="00AA3C21" w14:paraId="4EFE9CBC" w14:textId="77777777">
      <w:pPr>
        <w:pStyle w:val="ListParagraph"/>
        <w:numPr>
          <w:ilvl w:val="0"/>
          <w:numId w:val="25"/>
        </w:numPr>
        <w:ind w:left="567" w:hanging="567"/>
      </w:pPr>
      <w:r>
        <w:lastRenderedPageBreak/>
        <w:t>potiče lokalne i regionalne vlasti da organiziraju lokalne samite o klimi koji bi pozitivno utjecali na uključenost lokalnih i regionalnih vlasti u pitanja prilagodbe klimatskim promjenama i energetske tranzicije te pružili priliku za pripremu preporuka Odbora regija za godišnje konferencije UN-a o klimi;</w:t>
      </w:r>
    </w:p>
    <w:p w:rsidRPr="00CA30BB" w:rsidR="00C24F1F" w:rsidP="00C24F1F" w:rsidRDefault="00C24F1F" w14:paraId="18CFC4CC" w14:textId="77777777">
      <w:pPr>
        <w:suppressAutoHyphens/>
      </w:pPr>
    </w:p>
    <w:p w:rsidRPr="00336DC2" w:rsidR="00C24F1F" w:rsidP="00E46AAE" w:rsidRDefault="00C24F1F" w14:paraId="75BD7A2E" w14:textId="77777777">
      <w:pPr>
        <w:keepNext/>
        <w:keepLines/>
        <w:suppressAutoHyphens/>
        <w:rPr>
          <w:i/>
          <w:iCs/>
        </w:rPr>
      </w:pPr>
      <w:r>
        <w:rPr>
          <w:i/>
        </w:rPr>
        <w:t>Socijalna dimenzija izgradnje otpornosti</w:t>
      </w:r>
    </w:p>
    <w:p w:rsidRPr="00CA30BB" w:rsidR="00C24F1F" w:rsidP="00E46AAE" w:rsidRDefault="00C24F1F" w14:paraId="01054022" w14:textId="77777777">
      <w:pPr>
        <w:keepNext/>
        <w:keepLines/>
        <w:suppressAutoHyphens/>
        <w:rPr>
          <w:iCs/>
        </w:rPr>
      </w:pPr>
    </w:p>
    <w:p w:rsidRPr="00336DC2" w:rsidR="00C24F1F" w:rsidP="00E46AAE" w:rsidRDefault="00C24F1F" w14:paraId="417A10EC" w14:textId="77777777">
      <w:pPr>
        <w:pStyle w:val="ListParagraph"/>
        <w:numPr>
          <w:ilvl w:val="0"/>
          <w:numId w:val="25"/>
        </w:numPr>
        <w:suppressAutoHyphens/>
        <w:overflowPunct w:val="0"/>
        <w:autoSpaceDE w:val="0"/>
        <w:autoSpaceDN w:val="0"/>
        <w:adjustRightInd w:val="0"/>
        <w:ind w:left="567" w:hanging="567"/>
        <w:textAlignment w:val="baseline"/>
      </w:pPr>
      <w:r>
        <w:t>naglašava da je uključivanje lokalnih zajednica u donošenje odluka ključno za svaku tranziciju; poziva na veći angažman u području osnaživanja, uključivosti, zajedničkih vrijednosti i solidarnosti te na uključivanje svih aktera u izgradnju otpornijih zajednica; u tom je pogledu ključno i uključivanje mladih;</w:t>
      </w:r>
    </w:p>
    <w:p w:rsidRPr="00CA30BB" w:rsidR="00C24F1F" w:rsidP="00C24F1F" w:rsidRDefault="00C24F1F" w14:paraId="02E80CE6" w14:textId="77777777">
      <w:pPr>
        <w:suppressAutoHyphens/>
      </w:pPr>
    </w:p>
    <w:p w:rsidRPr="00336DC2" w:rsidR="00C24F1F" w:rsidP="00E46AAE" w:rsidRDefault="00C24F1F" w14:paraId="1B43865C" w14:textId="77777777">
      <w:pPr>
        <w:pStyle w:val="ListParagraph"/>
        <w:numPr>
          <w:ilvl w:val="0"/>
          <w:numId w:val="25"/>
        </w:numPr>
        <w:suppressAutoHyphens/>
        <w:overflowPunct w:val="0"/>
        <w:autoSpaceDE w:val="0"/>
        <w:autoSpaceDN w:val="0"/>
        <w:adjustRightInd w:val="0"/>
        <w:ind w:left="567" w:hanging="567"/>
        <w:textAlignment w:val="baseline"/>
        <w:rPr>
          <w:rFonts w:eastAsiaTheme="minorEastAsia"/>
        </w:rPr>
      </w:pPr>
      <w:r>
        <w:t>poziva na razvoj alata za poticanje kućanstava da se uključe u tranziciju, kao i na razne oblike potpore, posebno za najranjivije skupine građana i područja; u tom kontekstu pozdravlja uspostavu Socijalnog fonda za klimatsku politiku i poziva na pružanje financijske potpore putem sustava podijeljenog upravljanja uz poštovanje načela partnerstva i višerazinskog upravljanja;</w:t>
      </w:r>
    </w:p>
    <w:p w:rsidRPr="00336DC2" w:rsidR="00746520" w:rsidP="00CA30BB" w:rsidRDefault="00746520" w14:paraId="088630C0" w14:textId="77777777">
      <w:pPr>
        <w:pStyle w:val="ListParagraph"/>
        <w:suppressAutoHyphens/>
        <w:overflowPunct w:val="0"/>
        <w:autoSpaceDE w:val="0"/>
        <w:autoSpaceDN w:val="0"/>
        <w:adjustRightInd w:val="0"/>
        <w:ind w:left="0"/>
        <w:textAlignment w:val="baseline"/>
        <w:rPr>
          <w:rStyle w:val="q4iawc"/>
          <w:rFonts w:eastAsiaTheme="minorEastAsia"/>
        </w:rPr>
      </w:pPr>
    </w:p>
    <w:p w:rsidRPr="00336DC2" w:rsidR="00746520" w:rsidP="00746520" w:rsidRDefault="00746520" w14:paraId="1F08D825" w14:textId="77777777">
      <w:pPr>
        <w:pStyle w:val="ListParagraph"/>
        <w:numPr>
          <w:ilvl w:val="0"/>
          <w:numId w:val="25"/>
        </w:numPr>
        <w:suppressAutoHyphens/>
        <w:overflowPunct w:val="0"/>
        <w:autoSpaceDE w:val="0"/>
        <w:autoSpaceDN w:val="0"/>
        <w:adjustRightInd w:val="0"/>
        <w:ind w:left="567" w:hanging="567"/>
        <w:textAlignment w:val="baseline"/>
        <w:rPr>
          <w:rStyle w:val="q4iawc"/>
          <w:rFonts w:eastAsiaTheme="minorEastAsia"/>
        </w:rPr>
      </w:pPr>
      <w:r>
        <w:t>poziva na osnaživanje prozumenata i potrošača u zelenoj tranziciji primjenom zakonodavstva za suzbijanje manipulativnog zelenog marketinga i poticanje donošenja informiranih odluka;</w:t>
      </w:r>
    </w:p>
    <w:p w:rsidRPr="00CA30BB" w:rsidR="00C24F1F" w:rsidP="00C24F1F" w:rsidRDefault="00C24F1F" w14:paraId="3158C53B" w14:textId="77777777">
      <w:pPr>
        <w:suppressAutoHyphens/>
      </w:pPr>
    </w:p>
    <w:p w:rsidRPr="00CA30BB" w:rsidR="0035611B" w:rsidP="00E46AAE" w:rsidRDefault="00C24F1F" w14:paraId="35932E58" w14:textId="77777777">
      <w:pPr>
        <w:pStyle w:val="ListParagraph"/>
        <w:numPr>
          <w:ilvl w:val="0"/>
          <w:numId w:val="25"/>
        </w:numPr>
        <w:ind w:left="567" w:hanging="567"/>
      </w:pPr>
      <w:r>
        <w:t>poziva na mjere za olakšavanje i promicanje relevantnih inicijativa te na smanjenje prepreka za osnivanje lokalnih zajednica energije iz obnovljivih izvora jer su one ključan alat za promicanje široke uporabe obnovljivih izvora energije i postizanje decentraliziranog energetskog sustava uz istodobno osiguravanje lokalnih gospodarskih i socijalnih koristi;</w:t>
      </w:r>
    </w:p>
    <w:p w:rsidRPr="00CA30BB" w:rsidR="0035611B" w:rsidP="00CA30BB" w:rsidRDefault="0035611B" w14:paraId="6A65AB80" w14:textId="77777777">
      <w:pPr>
        <w:pStyle w:val="ListParagraph"/>
        <w:ind w:left="0"/>
      </w:pPr>
    </w:p>
    <w:p w:rsidRPr="00336DC2" w:rsidR="00C24F1F" w:rsidP="00E46AAE" w:rsidRDefault="0035611B" w14:paraId="59713CEB" w14:textId="77777777">
      <w:pPr>
        <w:pStyle w:val="ListParagraph"/>
        <w:numPr>
          <w:ilvl w:val="0"/>
          <w:numId w:val="25"/>
        </w:numPr>
        <w:ind w:left="567" w:hanging="567"/>
      </w:pPr>
      <w:r>
        <w:t>napominje da u programu REPowerEU nije dovoljno iskorišten potencijal za uštedu energije te poziva Komisiju i države članice da razmotre mogućnost uvođenja mjera poput kampanja kojima se podiže svijest javnosti i potiče promjena ponašanja;</w:t>
      </w:r>
    </w:p>
    <w:p w:rsidRPr="00CA30BB" w:rsidR="00C24F1F" w:rsidP="00C24F1F" w:rsidRDefault="00C24F1F" w14:paraId="683AE108" w14:textId="77777777">
      <w:pPr>
        <w:suppressAutoHyphens/>
      </w:pPr>
    </w:p>
    <w:p w:rsidRPr="00336DC2" w:rsidR="00C24F1F" w:rsidP="00E46AAE" w:rsidRDefault="00C24F1F" w14:paraId="35D7CBB2" w14:textId="77777777">
      <w:pPr>
        <w:keepNext/>
        <w:keepLines/>
        <w:suppressAutoHyphens/>
        <w:rPr>
          <w:i/>
          <w:iCs/>
        </w:rPr>
      </w:pPr>
      <w:r>
        <w:rPr>
          <w:i/>
        </w:rPr>
        <w:t>Obrazovanje i učenje u cilju izgradnje otpornosti</w:t>
      </w:r>
    </w:p>
    <w:p w:rsidRPr="00CA30BB" w:rsidR="00C24F1F" w:rsidP="00E46AAE" w:rsidRDefault="00C24F1F" w14:paraId="32AE32B2" w14:textId="77777777">
      <w:pPr>
        <w:keepNext/>
        <w:keepLines/>
        <w:suppressAutoHyphens/>
      </w:pPr>
    </w:p>
    <w:p w:rsidRPr="00336DC2" w:rsidR="00C24F1F" w:rsidP="00E46AAE" w:rsidRDefault="00C24F1F" w14:paraId="5FDBB7FF" w14:textId="77777777">
      <w:pPr>
        <w:pStyle w:val="ListParagraph"/>
        <w:numPr>
          <w:ilvl w:val="0"/>
          <w:numId w:val="25"/>
        </w:numPr>
        <w:suppressAutoHyphens/>
        <w:ind w:left="567" w:hanging="567"/>
      </w:pPr>
      <w:r>
        <w:t>naglašava da će zelena tranzicija biti uspješna samo ako se kapital znanja razvija edukacijom o klimi na svim razinama obrazovanja, kao i stjecanjem vještina i prekvalifikacijom;</w:t>
      </w:r>
    </w:p>
    <w:p w:rsidRPr="00336DC2" w:rsidR="0035611B" w:rsidP="00CA30BB" w:rsidRDefault="0035611B" w14:paraId="0B2E899B" w14:textId="77777777">
      <w:pPr>
        <w:pStyle w:val="ListParagraph"/>
        <w:suppressAutoHyphens/>
        <w:ind w:left="0"/>
      </w:pPr>
    </w:p>
    <w:p w:rsidRPr="00336DC2" w:rsidR="0035611B" w:rsidP="00E46AAE" w:rsidRDefault="0035611B" w14:paraId="1361BC3A" w14:textId="77777777">
      <w:pPr>
        <w:pStyle w:val="ListParagraph"/>
        <w:numPr>
          <w:ilvl w:val="0"/>
          <w:numId w:val="25"/>
        </w:numPr>
        <w:suppressAutoHyphens/>
        <w:ind w:left="567" w:hanging="567"/>
      </w:pPr>
      <w:r>
        <w:t>ističe da bi se klimatskim paktom trebali ubrzati napori usmjereni na ispunjenje obveza koje su na lokalnoj razini već preuzeli lokalni akteri (MSP-ovi, škole, lokalne vlasti, sveučilišta itd.) te stvoriti nove obveze kako bi Europa postala prvi klimatski neutralan kontinent do 2050.;</w:t>
      </w:r>
    </w:p>
    <w:p w:rsidRPr="00CA30BB" w:rsidR="00C24F1F" w:rsidP="00C24F1F" w:rsidRDefault="00C24F1F" w14:paraId="277ECA66" w14:textId="77777777">
      <w:pPr>
        <w:suppressAutoHyphens/>
      </w:pPr>
    </w:p>
    <w:p w:rsidRPr="00336DC2" w:rsidR="00C24F1F" w:rsidP="00E46AAE" w:rsidRDefault="00C24F1F" w14:paraId="46276FEA" w14:textId="77777777">
      <w:pPr>
        <w:pStyle w:val="ListParagraph"/>
        <w:numPr>
          <w:ilvl w:val="0"/>
          <w:numId w:val="25"/>
        </w:numPr>
        <w:suppressAutoHyphens/>
        <w:ind w:left="567" w:hanging="567"/>
      </w:pPr>
      <w:r>
        <w:t>podržava ciljeve, načela i smjernice programa Obzor Europa i poziva na strože zahtjeve u pogledu trajnosti projekata i praćenja njihova učinka;</w:t>
      </w:r>
    </w:p>
    <w:p w:rsidRPr="00336DC2" w:rsidR="0035611B" w:rsidP="00CA30BB" w:rsidRDefault="0035611B" w14:paraId="71FD3B12" w14:textId="77777777">
      <w:pPr>
        <w:pStyle w:val="ListParagraph"/>
        <w:suppressAutoHyphens/>
        <w:ind w:left="0"/>
      </w:pPr>
    </w:p>
    <w:p w:rsidRPr="00CA30BB" w:rsidR="0035611B" w:rsidP="00E46AAE" w:rsidRDefault="0035611B" w14:paraId="1AD0244B" w14:textId="77777777">
      <w:pPr>
        <w:pStyle w:val="ListParagraph"/>
        <w:numPr>
          <w:ilvl w:val="0"/>
          <w:numId w:val="25"/>
        </w:numPr>
        <w:suppressAutoHyphens/>
        <w:ind w:left="567" w:hanging="567"/>
      </w:pPr>
      <w:r>
        <w:t>naglašava važnost mjera za promicanje, širenje i financiranje postojećih i novih inicijativa kojima se podržavaju razmjena znanja i najboljih praksi među europskim nacionalnim, regionalnim i lokalnim mrežama te partnerstva među gradovima poput aktivnosti zajedničkog učenja, studijskih posjeta, kao i mentorstva i savjetovanja među partnerima;</w:t>
      </w:r>
    </w:p>
    <w:p w:rsidRPr="00CA30BB" w:rsidR="0035611B" w:rsidP="00CA30BB" w:rsidRDefault="0035611B" w14:paraId="3E0D0360" w14:textId="77777777">
      <w:pPr>
        <w:pStyle w:val="ListParagraph"/>
        <w:suppressAutoHyphens/>
        <w:ind w:left="0"/>
      </w:pPr>
    </w:p>
    <w:p w:rsidRPr="00CA30BB" w:rsidR="0035611B" w:rsidP="00E46AAE" w:rsidRDefault="0035611B" w14:paraId="14474136" w14:textId="77777777">
      <w:pPr>
        <w:pStyle w:val="ListParagraph"/>
        <w:numPr>
          <w:ilvl w:val="0"/>
          <w:numId w:val="25"/>
        </w:numPr>
        <w:suppressAutoHyphens/>
        <w:ind w:left="567" w:hanging="567"/>
      </w:pPr>
      <w:r>
        <w:lastRenderedPageBreak/>
        <w:t>poziva lokalne i regionalne vlasti da učine sve što je u njihovoj moći kako bi potaknule uzajamnu i prekograničnu administrativnu suradnju u provedbi tranzicijskih projekata, uključujući međuregionalnu, međuopćinsku i prekograničnu suradnju diljem EU-a;</w:t>
      </w:r>
    </w:p>
    <w:p w:rsidRPr="00CA30BB" w:rsidR="0035611B" w:rsidP="00CA30BB" w:rsidRDefault="0035611B" w14:paraId="0C9D6519" w14:textId="77777777">
      <w:pPr>
        <w:pStyle w:val="ListParagraph"/>
        <w:suppressAutoHyphens/>
        <w:ind w:left="0"/>
      </w:pPr>
    </w:p>
    <w:p w:rsidRPr="00CA30BB" w:rsidR="0035611B" w:rsidP="00E46AAE" w:rsidRDefault="0035611B" w14:paraId="0D3C3791" w14:textId="77777777">
      <w:pPr>
        <w:pStyle w:val="ListParagraph"/>
        <w:numPr>
          <w:ilvl w:val="0"/>
          <w:numId w:val="25"/>
        </w:numPr>
        <w:suppressAutoHyphens/>
        <w:ind w:left="567" w:hanging="567"/>
      </w:pPr>
      <w:r>
        <w:t>predlaže da se u borbi protiv klimatskih promjena na lokalnoj i regionalnoj razini primjenjuju najbolje prakse koje proizlaze iz inicijativa kao što su Sporazum gradonačelnika, koalicija Under2, misije EU-a itd. Cilj je iskoristiti prikupljene podatke tijekom razvoja dugoročnih klimatskih strategija i podijeliti iskustva o uspješnim metodama, inovativnim rješenjima i dragocjenim poukama iz takvih inicijativa;</w:t>
      </w:r>
    </w:p>
    <w:p w:rsidRPr="00CA30BB" w:rsidR="0035611B" w:rsidP="00CA30BB" w:rsidRDefault="0035611B" w14:paraId="5A2C7417" w14:textId="77777777">
      <w:pPr>
        <w:pStyle w:val="ListParagraph"/>
        <w:suppressAutoHyphens/>
        <w:ind w:left="0"/>
      </w:pPr>
    </w:p>
    <w:p w:rsidRPr="00336DC2" w:rsidR="0035611B" w:rsidP="00E46AAE" w:rsidRDefault="0035611B" w14:paraId="766E7BF5" w14:textId="77777777">
      <w:pPr>
        <w:pStyle w:val="ListParagraph"/>
        <w:numPr>
          <w:ilvl w:val="0"/>
          <w:numId w:val="25"/>
        </w:numPr>
        <w:suppressAutoHyphens/>
        <w:ind w:left="567" w:hanging="567"/>
      </w:pPr>
      <w:r>
        <w:t>poziva Europsku komisiju da razmotri mogućnost uvođenja namjenskog instrumenta za tehničku pomoć i razmjenu informacija između lokalnih i regionalnih vlasti koje se suočavaju sa sličnim izazovima u pogledu zelene tranzicije i izgradnje otpornih zajednica pružanjem financijske potpore za razmjenu najboljih praksi EU-a (studijski posjeti);</w:t>
      </w:r>
    </w:p>
    <w:p w:rsidRPr="00CA30BB" w:rsidR="00C24F1F" w:rsidP="00C24F1F" w:rsidRDefault="00C24F1F" w14:paraId="07964B89" w14:textId="77777777">
      <w:pPr>
        <w:suppressAutoHyphens/>
      </w:pPr>
    </w:p>
    <w:p w:rsidRPr="00336DC2" w:rsidR="00C24F1F" w:rsidP="00E46AAE" w:rsidRDefault="00C24F1F" w14:paraId="2BDC7F0B" w14:textId="77777777">
      <w:pPr>
        <w:pStyle w:val="ListParagraph"/>
        <w:numPr>
          <w:ilvl w:val="0"/>
          <w:numId w:val="25"/>
        </w:numPr>
        <w:suppressAutoHyphens/>
        <w:ind w:left="567" w:hanging="567"/>
      </w:pPr>
      <w:r>
        <w:t>naglašava važnost međugeneracijske suradnje, uključivanja stajališta mladih i potpore iz programa za mlade izabrane političarke i političare; zalaže se za izgradnju inovacijskog ekosustava s pomoću projekata, programa i mjera za talentirane mlade ljude kako bi se iskoristio potencijal mladih za zelenu tranziciju;</w:t>
      </w:r>
    </w:p>
    <w:p w:rsidRPr="00CA30BB" w:rsidR="00C24F1F" w:rsidP="00C24F1F" w:rsidRDefault="00C24F1F" w14:paraId="45028C48" w14:textId="77777777">
      <w:pPr>
        <w:suppressAutoHyphens/>
      </w:pPr>
    </w:p>
    <w:p w:rsidRPr="00336DC2" w:rsidR="00C24F1F" w:rsidP="00E46AAE" w:rsidRDefault="00C24F1F" w14:paraId="0DCC8458" w14:textId="77777777">
      <w:pPr>
        <w:pStyle w:val="ListParagraph"/>
        <w:numPr>
          <w:ilvl w:val="0"/>
          <w:numId w:val="25"/>
        </w:numPr>
        <w:suppressAutoHyphens/>
        <w:ind w:left="567" w:hanging="567"/>
      </w:pPr>
      <w:r>
        <w:t>poziva na uspostavu lokalnih odnosno regionalnih centara za klimu kao informativnih punktova i mjesta u kojima se lokalne zajednice potiču na promicanje zelene tranzicije. Takvi centri mogli bi imati potencijal za pokretanje inicijativa i projekata odozdo prema gore kojima se promiče i potiče suradnja i među angažiranim i skeptičnim osobama koje žive u gradovima i regijama, kao i među onima koji još nisu uključeni;</w:t>
      </w:r>
    </w:p>
    <w:p w:rsidRPr="00CA30BB" w:rsidR="00C24F1F" w:rsidP="00C24F1F" w:rsidRDefault="00C24F1F" w14:paraId="79FDE3CE" w14:textId="77777777">
      <w:pPr>
        <w:suppressAutoHyphens/>
        <w:rPr>
          <w:sz w:val="24"/>
          <w:szCs w:val="24"/>
        </w:rPr>
      </w:pPr>
    </w:p>
    <w:p w:rsidRPr="00336DC2" w:rsidR="00C24F1F" w:rsidP="00E46AAE" w:rsidRDefault="00C24F1F" w14:paraId="1C194CC0" w14:textId="77777777">
      <w:pPr>
        <w:keepNext/>
        <w:keepLines/>
        <w:rPr>
          <w:i/>
          <w:iCs/>
        </w:rPr>
      </w:pPr>
      <w:r>
        <w:rPr>
          <w:i/>
        </w:rPr>
        <w:t>Veća javna svijest i praćenje promjena</w:t>
      </w:r>
    </w:p>
    <w:p w:rsidRPr="00CA30BB" w:rsidR="00C24F1F" w:rsidP="00E46AAE" w:rsidRDefault="00C24F1F" w14:paraId="11A21F6B" w14:textId="77777777">
      <w:pPr>
        <w:keepNext/>
        <w:keepLines/>
      </w:pPr>
    </w:p>
    <w:p w:rsidRPr="00336DC2" w:rsidR="00C24F1F" w:rsidP="00E46AAE" w:rsidRDefault="00C24F1F" w14:paraId="139C1228" w14:textId="77777777">
      <w:pPr>
        <w:pStyle w:val="ListParagraph"/>
        <w:numPr>
          <w:ilvl w:val="0"/>
          <w:numId w:val="25"/>
        </w:numPr>
        <w:ind w:left="567" w:hanging="567"/>
      </w:pPr>
      <w:r>
        <w:t>naglašava da je osviještenost javnosti o klimatskim promjenama, njihovim uzrocima i posljedicama preduvjet za djelotvornu klimatsku politiku. Upotreba modernih tehnologija (teledetekcije, prometne telematike, bespilotnih letjelica, IKT-a) omogućuje puno djelotvorniju provedbu usvojenih klimatskih politika;</w:t>
      </w:r>
    </w:p>
    <w:p w:rsidRPr="00336DC2" w:rsidR="0035611B" w:rsidP="00CA30BB" w:rsidRDefault="0035611B" w14:paraId="65714A8B" w14:textId="77777777">
      <w:pPr>
        <w:pStyle w:val="ListParagraph"/>
        <w:ind w:left="0"/>
      </w:pPr>
    </w:p>
    <w:p w:rsidRPr="00336DC2" w:rsidR="0035611B" w:rsidP="00E46AAE" w:rsidRDefault="0035611B" w14:paraId="4645914F" w14:textId="77777777">
      <w:pPr>
        <w:pStyle w:val="ListParagraph"/>
        <w:numPr>
          <w:ilvl w:val="0"/>
          <w:numId w:val="25"/>
        </w:numPr>
        <w:ind w:left="567" w:hanging="567"/>
      </w:pPr>
      <w:r>
        <w:t>društvo svjesno klimatskih rizika pokazuje veću solidarnost u prihvaćanju teških i često skupih aktivnosti. Ažurirane i pouzdane informacije temelj su i samih mjera i njihove prihvaćenosti u lokalnim i regionalnim zajednicama;</w:t>
      </w:r>
    </w:p>
    <w:p w:rsidRPr="00CA30BB" w:rsidR="00C24F1F" w:rsidP="00C24F1F" w:rsidRDefault="00C24F1F" w14:paraId="75E4633B" w14:textId="77777777"/>
    <w:p w:rsidRPr="00336DC2" w:rsidR="00C24F1F" w:rsidP="00E46AAE" w:rsidRDefault="00C24F1F" w14:paraId="55BFBEFA" w14:textId="77777777">
      <w:pPr>
        <w:pStyle w:val="ListParagraph"/>
        <w:numPr>
          <w:ilvl w:val="0"/>
          <w:numId w:val="25"/>
        </w:numPr>
        <w:ind w:left="567" w:hanging="567"/>
        <w:rPr>
          <w:color w:val="000000" w:themeColor="text1"/>
        </w:rPr>
      </w:pPr>
      <w:r>
        <w:rPr>
          <w:color w:val="000000" w:themeColor="text1"/>
        </w:rPr>
        <w:t>naglašava da uspjeh zelene tranzicije ovisi o uključivanju velikog broja lokalnih partnera. Važni su jasna i trajna komunikacija o procesu tranzicije i dijalog, posebno o teškim temama, kao što su ograničavanje individualnog prijevoza i lokacije općinskih sadržaja, koje javnost nevoljko prihvaća;</w:t>
      </w:r>
    </w:p>
    <w:p w:rsidRPr="00CA30BB" w:rsidR="00C24F1F" w:rsidP="00C24F1F" w:rsidRDefault="00C24F1F" w14:paraId="380E5011" w14:textId="77777777">
      <w:pPr>
        <w:rPr>
          <w:sz w:val="24"/>
          <w:szCs w:val="24"/>
        </w:rPr>
      </w:pPr>
    </w:p>
    <w:p w:rsidRPr="00336DC2" w:rsidR="00C24F1F" w:rsidP="00E46AAE" w:rsidRDefault="00C24F1F" w14:paraId="18226E73" w14:textId="77777777">
      <w:pPr>
        <w:keepNext/>
        <w:keepLines/>
        <w:rPr>
          <w:i/>
          <w:iCs/>
        </w:rPr>
      </w:pPr>
      <w:r>
        <w:rPr>
          <w:i/>
        </w:rPr>
        <w:lastRenderedPageBreak/>
        <w:t xml:space="preserve">Gospodarski subjekti moraju izgraditi otpornost </w:t>
      </w:r>
    </w:p>
    <w:p w:rsidRPr="00CA30BB" w:rsidR="00C24F1F" w:rsidP="00E46AAE" w:rsidRDefault="00C24F1F" w14:paraId="77F7FF08" w14:textId="77777777">
      <w:pPr>
        <w:keepNext/>
        <w:keepLines/>
      </w:pPr>
    </w:p>
    <w:p w:rsidRPr="00336DC2" w:rsidR="00C24F1F" w:rsidP="00E46AAE" w:rsidRDefault="00C24F1F" w14:paraId="7FFFDE7F" w14:textId="77777777">
      <w:pPr>
        <w:pStyle w:val="Header"/>
        <w:numPr>
          <w:ilvl w:val="0"/>
          <w:numId w:val="25"/>
        </w:numPr>
        <w:suppressAutoHyphens/>
        <w:overflowPunct/>
        <w:autoSpaceDE/>
        <w:autoSpaceDN/>
        <w:adjustRightInd/>
        <w:ind w:left="567" w:hanging="567"/>
        <w:textAlignment w:val="auto"/>
      </w:pPr>
      <w:r>
        <w:t xml:space="preserve">naglašava da bi poduzeća i industrija trebali podupirati napore za prilagodbu klimatskim promjenama te da bi trebalo uspostaviti pravna i financijska sredstva kako bi se izbjeglo da lokalno stanovništvo internalizira troškove negativnih vanjskih učinaka poslovanja; </w:t>
      </w:r>
    </w:p>
    <w:p w:rsidRPr="00CA30BB" w:rsidR="00C24F1F" w:rsidP="00C24F1F" w:rsidRDefault="00C24F1F" w14:paraId="1607B370" w14:textId="77777777">
      <w:pPr>
        <w:pStyle w:val="Header"/>
      </w:pPr>
    </w:p>
    <w:p w:rsidRPr="00336DC2" w:rsidR="00C24F1F" w:rsidP="00E46AAE" w:rsidRDefault="00C24F1F" w14:paraId="407B888F" w14:textId="77777777">
      <w:pPr>
        <w:pStyle w:val="Header"/>
        <w:numPr>
          <w:ilvl w:val="0"/>
          <w:numId w:val="25"/>
        </w:numPr>
        <w:suppressAutoHyphens/>
        <w:overflowPunct/>
        <w:autoSpaceDE/>
        <w:autoSpaceDN/>
        <w:adjustRightInd/>
        <w:ind w:left="567" w:hanging="567"/>
        <w:textAlignment w:val="auto"/>
      </w:pPr>
      <w:r>
        <w:t>poziva na poticanje održive proizvodnje kroz regulaciju, zahvaljujući proširenoj odgovornosti proizvođača za sve veći broj skupina proizvoda i za pojedinačne faze njihova životnog ciklusa;</w:t>
      </w:r>
    </w:p>
    <w:p w:rsidRPr="00CA30BB" w:rsidR="00C24F1F" w:rsidP="00C24F1F" w:rsidRDefault="00C24F1F" w14:paraId="0D1D0279" w14:textId="77777777">
      <w:pPr>
        <w:suppressAutoHyphens/>
      </w:pPr>
    </w:p>
    <w:p w:rsidRPr="00336DC2" w:rsidR="00C24F1F" w:rsidP="00E46AAE" w:rsidRDefault="008D438A" w14:paraId="2CF48864" w14:textId="77777777">
      <w:pPr>
        <w:pStyle w:val="ListParagraph"/>
        <w:numPr>
          <w:ilvl w:val="0"/>
          <w:numId w:val="25"/>
        </w:numPr>
        <w:suppressAutoHyphens/>
        <w:ind w:left="567" w:hanging="567"/>
      </w:pPr>
      <w:r>
        <w:t xml:space="preserve">pozdravlja reviziju </w:t>
      </w:r>
      <w:hyperlink w:history="1" r:id="rId19">
        <w:r>
          <w:rPr>
            <w:rStyle w:val="Hyperlink"/>
          </w:rPr>
          <w:t>Direktive o industrijskim emisijama</w:t>
        </w:r>
      </w:hyperlink>
      <w:r>
        <w:t xml:space="preserve"> koja je namijenjena ne samo sprečavanju i kontroli onečišćenja, već i poticanju inovacija, nagrađivanju predvodnika i osiguravanju ravnopravnih uvjeta na tržištu EU-a; </w:t>
      </w:r>
    </w:p>
    <w:p w:rsidRPr="00CA30BB" w:rsidR="00C24F1F" w:rsidP="00C24F1F" w:rsidRDefault="00C24F1F" w14:paraId="3C213327" w14:textId="77777777">
      <w:pPr>
        <w:suppressAutoHyphens/>
      </w:pPr>
    </w:p>
    <w:p w:rsidRPr="00336DC2" w:rsidR="00C24F1F" w:rsidP="00E46AAE" w:rsidRDefault="00C24F1F" w14:paraId="60B43C4D" w14:textId="77777777">
      <w:pPr>
        <w:pStyle w:val="ListParagraph"/>
        <w:numPr>
          <w:ilvl w:val="0"/>
          <w:numId w:val="25"/>
        </w:numPr>
        <w:suppressAutoHyphens/>
        <w:ind w:left="567" w:hanging="567"/>
      </w:pPr>
      <w:r>
        <w:t>ističe da je potrebno razviti više prekograničnih projekata i infrastrukturu u području održive energije ako u EU-u želimo postići potpuno integrirani energetski sustav s nultom stopom emisija. Trebalo bi ukloniti postojeće prepreke i ojačati prekograničnu suradnju u području niskih razina emisija i obnovljive energije;</w:t>
      </w:r>
    </w:p>
    <w:p w:rsidRPr="00CA30BB" w:rsidR="00C24F1F" w:rsidP="00C24F1F" w:rsidRDefault="00C24F1F" w14:paraId="7D7A4DB4" w14:textId="77777777">
      <w:pPr>
        <w:suppressAutoHyphens/>
      </w:pPr>
    </w:p>
    <w:p w:rsidRPr="00336DC2" w:rsidR="00C24F1F" w:rsidP="00E46AAE" w:rsidRDefault="00C24F1F" w14:paraId="5803FCA2" w14:textId="77777777">
      <w:pPr>
        <w:pStyle w:val="ListParagraph"/>
        <w:numPr>
          <w:ilvl w:val="0"/>
          <w:numId w:val="25"/>
        </w:numPr>
        <w:suppressAutoHyphens/>
        <w:ind w:left="567" w:hanging="567"/>
      </w:pPr>
      <w:r>
        <w:t>ističe potrebu za jačanjem unutarnjeg tržišta građevnih proizvoda s pomoću regulatornog okvira prikladnog za poticanje „vala obnove” i promicanje građevinskih ulaganja koja se temelje na održivoj gradnji;</w:t>
      </w:r>
    </w:p>
    <w:p w:rsidRPr="00336DC2" w:rsidR="00C24F1F" w:rsidP="00C24F1F" w:rsidRDefault="00C24F1F" w14:paraId="2BFFB1A3" w14:textId="77777777">
      <w:pPr>
        <w:pStyle w:val="Body"/>
        <w:suppressAutoHyphens/>
        <w:spacing w:line="276" w:lineRule="auto"/>
        <w:rPr>
          <w:color w:val="000000" w:themeColor="text1"/>
        </w:rPr>
      </w:pPr>
    </w:p>
    <w:p w:rsidRPr="00336DC2" w:rsidR="00C24F1F" w:rsidP="00E46AAE" w:rsidRDefault="00C24F1F" w14:paraId="0B4E8B71" w14:textId="77777777">
      <w:pPr>
        <w:pStyle w:val="Body"/>
        <w:keepNext/>
        <w:keepLines/>
        <w:overflowPunct w:val="0"/>
        <w:autoSpaceDE w:val="0"/>
        <w:autoSpaceDN w:val="0"/>
        <w:adjustRightInd w:val="0"/>
        <w:textAlignment w:val="baseline"/>
        <w:rPr>
          <w:i/>
          <w:iCs/>
        </w:rPr>
      </w:pPr>
      <w:r>
        <w:rPr>
          <w:i/>
        </w:rPr>
        <w:t>Održiva potrošnja</w:t>
      </w:r>
    </w:p>
    <w:p w:rsidRPr="00CA30BB" w:rsidR="00C24F1F" w:rsidP="00E46AAE" w:rsidRDefault="00C24F1F" w14:paraId="5F481DA1" w14:textId="77777777">
      <w:pPr>
        <w:keepNext/>
        <w:keepLines/>
      </w:pPr>
    </w:p>
    <w:p w:rsidRPr="00336DC2" w:rsidR="00C24F1F" w:rsidP="00E46AAE" w:rsidRDefault="00C24F1F" w14:paraId="6CA59070" w14:textId="77777777">
      <w:pPr>
        <w:pStyle w:val="ListParagraph"/>
        <w:numPr>
          <w:ilvl w:val="0"/>
          <w:numId w:val="25"/>
        </w:numPr>
        <w:suppressAutoHyphens/>
        <w:ind w:left="567" w:hanging="567"/>
      </w:pPr>
      <w:r>
        <w:t>poziva na donošenje zakonodavnih mjera kako bi sva materijalna dobra na tržištu EU-a postala ekološki prihvatljivija, kružna i energetski učinkovita tijekom cijelog životnog ciklusa, od dizajna, preko svakodnevne upotrebe, do prenamjene i ponovne uporabe;</w:t>
      </w:r>
    </w:p>
    <w:p w:rsidRPr="00CA30BB" w:rsidR="00C24F1F" w:rsidP="00C24F1F" w:rsidRDefault="00C24F1F" w14:paraId="26A3088F" w14:textId="77777777">
      <w:pPr>
        <w:suppressAutoHyphens/>
      </w:pPr>
    </w:p>
    <w:p w:rsidRPr="00336DC2" w:rsidR="00C24F1F" w:rsidP="00E46AAE" w:rsidRDefault="00C24F1F" w14:paraId="578C10C4" w14:textId="77777777">
      <w:pPr>
        <w:pStyle w:val="ListParagraph"/>
        <w:numPr>
          <w:ilvl w:val="0"/>
          <w:numId w:val="25"/>
        </w:numPr>
        <w:suppressAutoHyphens/>
        <w:ind w:left="567" w:hanging="567"/>
      </w:pPr>
      <w:r>
        <w:t>poziva na zakonodavne promjene radi uspješnijeg rješavanja problema rasipanja hrane, uključujući poticanje razvoja održivog prehrambenog sektora (strategija „od polja do stola”) i smanjenje utjecaja sektora prerade hrane i maloprodaje na okoliš poduzimanjem mjera u pogledu prijevoza, skladištenja, pakiranja i izbjegavanja rasipanja hrane, kao i na poduzimanje koraka za promicanje održive potrošnje hrane;</w:t>
      </w:r>
    </w:p>
    <w:p w:rsidRPr="00CA30BB" w:rsidR="00C24F1F" w:rsidP="00C24F1F" w:rsidRDefault="00C24F1F" w14:paraId="336C1F99" w14:textId="77777777">
      <w:pPr>
        <w:suppressAutoHyphens/>
      </w:pPr>
    </w:p>
    <w:p w:rsidRPr="00336DC2" w:rsidR="0036064C" w:rsidP="00E46AAE" w:rsidRDefault="00C24F1F" w14:paraId="5604F5BD" w14:textId="77777777">
      <w:pPr>
        <w:pStyle w:val="ListParagraph"/>
        <w:numPr>
          <w:ilvl w:val="0"/>
          <w:numId w:val="25"/>
        </w:numPr>
        <w:ind w:left="567" w:hanging="567"/>
      </w:pPr>
      <w:r>
        <w:t>podržava rad Komisije na davanju potpore razvoju europske socijalne ekonomije, koja može istinski prevladati izazove rasipanja hrane i kratkih životnih ciklusa proizvoda te razviti nove zelene aktivnosti;</w:t>
      </w:r>
    </w:p>
    <w:p w:rsidRPr="00336DC2" w:rsidR="0036064C" w:rsidP="00CA30BB" w:rsidRDefault="0036064C" w14:paraId="1754469A" w14:textId="77777777">
      <w:pPr>
        <w:pStyle w:val="ListParagraph"/>
        <w:ind w:left="0"/>
      </w:pPr>
    </w:p>
    <w:p w:rsidRPr="00336DC2" w:rsidR="00C24F1F" w:rsidP="00E46AAE" w:rsidRDefault="0036064C" w14:paraId="17254DDA" w14:textId="77777777">
      <w:pPr>
        <w:pStyle w:val="ListParagraph"/>
        <w:numPr>
          <w:ilvl w:val="0"/>
          <w:numId w:val="25"/>
        </w:numPr>
        <w:ind w:left="567" w:hanging="567"/>
      </w:pPr>
      <w:r>
        <w:t>ističe da su zbog sadašnje krize i posljedičnih izazova lokalne i regionalne vlasti prisiljene stalno mijenjati svoje ciljeve, utvrđivati rizike i dinamično odgovarati na nova razvojna ograničenja, što može otežati kontinuiranu i sveobuhvatnu provedbu transformacijskih mjera;</w:t>
      </w:r>
    </w:p>
    <w:p w:rsidRPr="00CA30BB" w:rsidR="00C24F1F" w:rsidP="00C24F1F" w:rsidRDefault="00C24F1F" w14:paraId="0D2857C0" w14:textId="77777777">
      <w:pPr>
        <w:suppressAutoHyphens/>
      </w:pPr>
    </w:p>
    <w:p w:rsidRPr="00336DC2" w:rsidR="00C24F1F" w:rsidP="000E16F1" w:rsidRDefault="00C24F1F" w14:paraId="5FBB1306" w14:textId="77777777">
      <w:pPr>
        <w:keepNext/>
        <w:keepLines/>
        <w:rPr>
          <w:i/>
          <w:iCs/>
        </w:rPr>
      </w:pPr>
      <w:r>
        <w:rPr>
          <w:i/>
        </w:rPr>
        <w:lastRenderedPageBreak/>
        <w:t>Financijska dimenzija izgradnje otpornosti</w:t>
      </w:r>
    </w:p>
    <w:p w:rsidRPr="00CA30BB" w:rsidR="00C24F1F" w:rsidP="000E16F1" w:rsidRDefault="00C24F1F" w14:paraId="26D5C8D0" w14:textId="77777777">
      <w:pPr>
        <w:keepNext/>
        <w:keepLines/>
        <w:rPr>
          <w:iCs/>
        </w:rPr>
      </w:pPr>
    </w:p>
    <w:p w:rsidRPr="00CA30BB" w:rsidR="00C24F1F" w:rsidP="000E16F1" w:rsidRDefault="00C24F1F" w14:paraId="7285A229" w14:textId="77777777">
      <w:pPr>
        <w:pStyle w:val="ListParagraph"/>
        <w:keepNext/>
        <w:keepLines/>
        <w:numPr>
          <w:ilvl w:val="0"/>
          <w:numId w:val="25"/>
        </w:numPr>
        <w:ind w:left="567" w:hanging="567"/>
        <w:rPr>
          <w:rFonts w:eastAsiaTheme="minorEastAsia"/>
          <w:color w:val="000000" w:themeColor="text1"/>
        </w:rPr>
      </w:pPr>
      <w:r>
        <w:t xml:space="preserve">izričito ukazuje na to da su najvažniji fondovi (u okviru kohezijske politike EU-a te Mehanizam za oporavak i otpornost, Fond za pravednu tranziciju, Fond za modernizaciju itd.), kao i fondovi izravno namijenjeni lokalnoj i regionalnoj razini (LIFE, Instrument za povezivanje Europe itd.), kojima se nastoji poduprijeti zelena tranzicija, programirani na nacionalnoj razini te da obujam lokalnih i regionalnih projekata ovisi o smjernicama središnje vlasti. Potrebno je uspostaviti postupke kojima bi se zajamčilo da lokalne i regionalne vlasti, u skladu sa svojim potrebama, u najvećoj mogućoj mjeri sudjeluju u programiranju i korištenju fondova EU-a; </w:t>
      </w:r>
    </w:p>
    <w:p w:rsidRPr="00CA30BB" w:rsidR="0036064C" w:rsidP="00CA30BB" w:rsidRDefault="0036064C" w14:paraId="0BAAED7E" w14:textId="77777777">
      <w:pPr>
        <w:pStyle w:val="ListParagraph"/>
        <w:ind w:left="0"/>
        <w:rPr>
          <w:rFonts w:eastAsiaTheme="minorEastAsia"/>
          <w:color w:val="000000" w:themeColor="text1"/>
        </w:rPr>
      </w:pPr>
    </w:p>
    <w:p w:rsidRPr="00336DC2" w:rsidR="0036064C" w:rsidP="00E46AAE" w:rsidRDefault="0036064C" w14:paraId="3765B225" w14:textId="77777777">
      <w:pPr>
        <w:pStyle w:val="ListParagraph"/>
        <w:numPr>
          <w:ilvl w:val="0"/>
          <w:numId w:val="25"/>
        </w:numPr>
        <w:ind w:left="567" w:hanging="567"/>
        <w:rPr>
          <w:rFonts w:eastAsiaTheme="minorEastAsia"/>
          <w:color w:val="000000" w:themeColor="text1"/>
        </w:rPr>
      </w:pPr>
      <w:r>
        <w:t>naglašava da bi u planu REPowerEU, koji je predstavila Europska komisija i koji se odnosi na povećanje uštede energije, diversifikaciju opskrbe, jačanje razvoja obnovljivih izvora energije, smanjenje potrošnje fosilnih goriva i pametna ulaganja, trebalo pružiti financijsku potporu lokalnim i regionalnim vlastima za njegovu provedbu, kao i dodijeliti postojeća ili nova financijska sredstva EU-a u tu svrhu; poziva države članice da preusmjere neiskorištena sredstva iz Mehanizma za oporavak i otpornost kako bi poduprle lokalno planiranje energetske sigurnosti i ulaganja u obnovljive izvore energije;</w:t>
      </w:r>
    </w:p>
    <w:p w:rsidRPr="00CA30BB" w:rsidR="00C24F1F" w:rsidP="00C24F1F" w:rsidRDefault="00C24F1F" w14:paraId="53701832" w14:textId="77777777">
      <w:pPr>
        <w:pStyle w:val="Header"/>
      </w:pPr>
    </w:p>
    <w:p w:rsidRPr="00336DC2" w:rsidR="00C24F1F" w:rsidP="00E46AAE" w:rsidRDefault="00C24F1F" w14:paraId="0E5D1F71" w14:textId="77777777">
      <w:pPr>
        <w:pStyle w:val="ListParagraph"/>
        <w:numPr>
          <w:ilvl w:val="0"/>
          <w:numId w:val="25"/>
        </w:numPr>
        <w:ind w:left="567" w:hanging="567"/>
        <w:rPr>
          <w:rFonts w:eastAsiaTheme="minorEastAsia"/>
        </w:rPr>
      </w:pPr>
      <w:r>
        <w:rPr>
          <w:color w:val="000000" w:themeColor="text1"/>
        </w:rPr>
        <w:t>ističe ulogu odredbi Ugovora u vezi s financiranjem aktivnosti lokalnih i regionalnih vlasti, osobito u području zaštite klime. Uvođenje promjena treba prilagoditi okolnostima i mogućnostima lokalnih zajednica kako bi se te promjene mogle zaista provesti bez pretjeranog opterećivanja lokalnog stanovništva; stoga poziva Europsku komisiju da preispita pravila za financiranje općinskih službi kako bi se mogla uspostaviti bolja rješenja za financiranje najhitnijih potreba u tom području, koje ima implikacije na učinak na okoliš;</w:t>
      </w:r>
    </w:p>
    <w:p w:rsidRPr="00336DC2" w:rsidR="00C24F1F" w:rsidP="00C24F1F" w:rsidRDefault="00C24F1F" w14:paraId="258BED65" w14:textId="77777777">
      <w:pPr>
        <w:pStyle w:val="ListParagraph"/>
        <w:rPr>
          <w:color w:val="000000"/>
          <w:shd w:val="clear" w:color="auto" w:fill="FFFFFF"/>
        </w:rPr>
      </w:pPr>
    </w:p>
    <w:p w:rsidRPr="00CA30BB" w:rsidR="00C24F1F" w:rsidP="00E46AAE" w:rsidRDefault="00C24F1F" w14:paraId="041F1024" w14:textId="77777777">
      <w:pPr>
        <w:pStyle w:val="ListParagraph"/>
        <w:numPr>
          <w:ilvl w:val="0"/>
          <w:numId w:val="25"/>
        </w:numPr>
        <w:ind w:left="567" w:hanging="567"/>
        <w:rPr>
          <w:rFonts w:eastAsiaTheme="minorEastAsia"/>
        </w:rPr>
      </w:pPr>
      <w:r>
        <w:rPr>
          <w:color w:val="000000"/>
          <w:shd w:val="clear" w:color="auto" w:fill="FFFFFF"/>
        </w:rPr>
        <w:t>poziva na pojednostavljenje pravila o javnim potporama, uključujući potporu za rješenja u području financiranja i održavanja sustava ključnih za gospodarenje otpadom, posebno uvođenje mogućnosti za financiranje lokalnih i regionalnih vlasti u upravljanju tim sustavima, kao i potporu za upravljanje kriznim situacijama i potporu gospodarskim subjektima, uključujući mikropoduzeća;</w:t>
      </w:r>
    </w:p>
    <w:p w:rsidRPr="00CA30BB" w:rsidR="0036064C" w:rsidP="00CA30BB" w:rsidRDefault="0036064C" w14:paraId="36BADD64" w14:textId="77777777">
      <w:pPr>
        <w:pStyle w:val="ListParagraph"/>
        <w:ind w:left="0"/>
        <w:rPr>
          <w:rFonts w:eastAsiaTheme="minorEastAsia"/>
        </w:rPr>
      </w:pPr>
    </w:p>
    <w:p w:rsidRPr="00CA30BB" w:rsidR="0036064C" w:rsidP="00E46AAE" w:rsidRDefault="0036064C" w14:paraId="39CC1487" w14:textId="77777777">
      <w:pPr>
        <w:pStyle w:val="ListParagraph"/>
        <w:numPr>
          <w:ilvl w:val="0"/>
          <w:numId w:val="25"/>
        </w:numPr>
        <w:ind w:left="567" w:hanging="567"/>
        <w:rPr>
          <w:rFonts w:eastAsiaTheme="minorEastAsia"/>
        </w:rPr>
      </w:pPr>
      <w:r>
        <w:t>naglašava potrebu za borbom protiv energetskog siromaštva i siromaštva u području mobilnosti s pomoću mjera energetske učinkovitosti i raširenije primjene obnovljivih izvora energije te s tim povezanu potrebu da države članice u tom pogledu pružaju potporu na lokalnoj i regionalnoj razini; stoga smatra da je od presudne važnosti smanjiti početno troškovno opterećenje povezano s mjerama u području energetske učinkovitosti i obnovljivih izvora energije, posebno za kućanstva, mikropoduzeća i mala poduzeća te ranjive potrošače;</w:t>
      </w:r>
    </w:p>
    <w:p w:rsidRPr="00CA30BB" w:rsidR="00286FB9" w:rsidP="00CA30BB" w:rsidRDefault="00286FB9" w14:paraId="653C58A8" w14:textId="77777777">
      <w:pPr>
        <w:pStyle w:val="ListParagraph"/>
        <w:ind w:left="0"/>
        <w:rPr>
          <w:rFonts w:eastAsiaTheme="minorEastAsia"/>
        </w:rPr>
      </w:pPr>
    </w:p>
    <w:p w:rsidRPr="00CA30BB" w:rsidR="00286FB9" w:rsidP="00E46AAE" w:rsidRDefault="00286FB9" w14:paraId="57220829" w14:textId="77777777">
      <w:pPr>
        <w:pStyle w:val="ListParagraph"/>
        <w:numPr>
          <w:ilvl w:val="0"/>
          <w:numId w:val="25"/>
        </w:numPr>
        <w:ind w:left="567" w:hanging="567"/>
        <w:rPr>
          <w:rFonts w:eastAsiaTheme="minorEastAsia"/>
        </w:rPr>
      </w:pPr>
      <w:r>
        <w:t>naglašava da su financijska sredstva predviđena u okviru revizije postojećeg sustava trgovanja emisijama nedostatna za osiguravanje istinski pravedne tranzicije te da bi trebalo razmotriti mogućnost da se prihodi izvan ETS-a za cestovni promet i zgrade (ETS II) dodijele Socijalnom fondu za klimatsku politiku; predlaže da se prihodi namijenjeni Socijalnom fondu za klimatsku politiku počnu objedinjavati prije provedbe ETS-a II;</w:t>
      </w:r>
    </w:p>
    <w:p w:rsidRPr="00CA30BB" w:rsidR="00286FB9" w:rsidP="00CA30BB" w:rsidRDefault="00286FB9" w14:paraId="4F9FF2A6" w14:textId="77777777">
      <w:pPr>
        <w:pStyle w:val="ListParagraph"/>
        <w:ind w:left="0"/>
        <w:rPr>
          <w:rFonts w:eastAsiaTheme="minorEastAsia"/>
        </w:rPr>
      </w:pPr>
    </w:p>
    <w:p w:rsidRPr="00336DC2" w:rsidR="00286FB9" w:rsidP="00E46AAE" w:rsidRDefault="00286FB9" w14:paraId="462C9768" w14:textId="77777777">
      <w:pPr>
        <w:pStyle w:val="ListParagraph"/>
        <w:numPr>
          <w:ilvl w:val="0"/>
          <w:numId w:val="25"/>
        </w:numPr>
        <w:ind w:left="567" w:hanging="567"/>
        <w:rPr>
          <w:rFonts w:eastAsiaTheme="minorEastAsia"/>
        </w:rPr>
      </w:pPr>
      <w:r>
        <w:lastRenderedPageBreak/>
        <w:t>smatra da bi Socijalni fond za klimatsku politiku trebao kompenzirati negativne učinke na kućanstva, mikropoduzeća i mala poduzeća i najranjivije korisnike prijevoza te osigurati socijalno održiv razvoj;</w:t>
      </w:r>
    </w:p>
    <w:p w:rsidRPr="00CA30BB" w:rsidR="00C24F1F" w:rsidP="00C24F1F" w:rsidRDefault="00C24F1F" w14:paraId="37B94719" w14:textId="77777777">
      <w:pPr>
        <w:rPr>
          <w:rFonts w:eastAsiaTheme="minorEastAsia"/>
        </w:rPr>
      </w:pPr>
    </w:p>
    <w:p w:rsidRPr="00336DC2" w:rsidR="00C24F1F" w:rsidP="00E46AAE" w:rsidRDefault="00C24F1F" w14:paraId="59E96D83" w14:textId="77777777">
      <w:pPr>
        <w:pStyle w:val="Header"/>
        <w:numPr>
          <w:ilvl w:val="0"/>
          <w:numId w:val="25"/>
        </w:numPr>
        <w:overflowPunct/>
        <w:autoSpaceDE/>
        <w:autoSpaceDN/>
        <w:adjustRightInd/>
        <w:ind w:left="567" w:hanging="567"/>
        <w:textAlignment w:val="auto"/>
        <w:rPr>
          <w:rFonts w:eastAsiaTheme="minorEastAsia"/>
        </w:rPr>
      </w:pPr>
      <w:r>
        <w:t>potiče privatni sektor (među ostalim i putem proširene odgovornosti proizvođača) da preuzme veću ulogu u izgradnji otpornosti gradova i regija;</w:t>
      </w:r>
    </w:p>
    <w:p w:rsidRPr="00CA30BB" w:rsidR="00C24F1F" w:rsidP="00C24F1F" w:rsidRDefault="00C24F1F" w14:paraId="6B1B15DA" w14:textId="77777777">
      <w:pPr>
        <w:suppressAutoHyphens/>
      </w:pPr>
    </w:p>
    <w:p w:rsidRPr="00336DC2" w:rsidR="00C24F1F" w:rsidP="00E46AAE" w:rsidRDefault="00C24F1F" w14:paraId="09222F2E" w14:textId="77777777">
      <w:pPr>
        <w:pStyle w:val="ListParagraph"/>
        <w:numPr>
          <w:ilvl w:val="0"/>
          <w:numId w:val="25"/>
        </w:numPr>
        <w:suppressAutoHyphens/>
        <w:overflowPunct w:val="0"/>
        <w:autoSpaceDE w:val="0"/>
        <w:autoSpaceDN w:val="0"/>
        <w:adjustRightInd w:val="0"/>
        <w:ind w:left="567" w:hanging="567"/>
        <w:textAlignment w:val="baseline"/>
      </w:pPr>
      <w:r>
        <w:t>poziva na to da se poveća fleksibilnost europskog prava tržišnog natjecanja, posebno u pogledu državnih potpora, jer se njime nedovoljno uzima u obzir priroda tržišnog natjecanja s kojim se suočavaju europska poduzeća u trećim zemljama u kojima se ne poštuju ista pravila;</w:t>
      </w:r>
    </w:p>
    <w:p w:rsidRPr="00CA30BB" w:rsidR="00C24F1F" w:rsidP="00C24F1F" w:rsidRDefault="00C24F1F" w14:paraId="7F78A93C" w14:textId="77777777">
      <w:pPr>
        <w:pStyle w:val="Header"/>
        <w:rPr>
          <w:bCs/>
        </w:rPr>
      </w:pPr>
    </w:p>
    <w:p w:rsidRPr="00336DC2" w:rsidR="00C24F1F" w:rsidP="00E46AAE" w:rsidRDefault="00C24F1F" w14:paraId="53016579" w14:textId="77777777">
      <w:pPr>
        <w:pStyle w:val="Header"/>
        <w:numPr>
          <w:ilvl w:val="0"/>
          <w:numId w:val="25"/>
        </w:numPr>
        <w:overflowPunct/>
        <w:autoSpaceDE/>
        <w:autoSpaceDN/>
        <w:adjustRightInd/>
        <w:ind w:left="567" w:hanging="567"/>
        <w:textAlignment w:val="auto"/>
      </w:pPr>
      <w:r>
        <w:t>ukazuje na to da su troškovi koje lokalne vlasti snose zbog brojnih kriza i kašnjenja u primanju potpore od viših razina vlasti podcijenjeni te stoga poziva na podnošenje prijedloga za djelotvornija rješenja;</w:t>
      </w:r>
    </w:p>
    <w:p w:rsidRPr="00CA30BB" w:rsidR="00C24F1F" w:rsidP="00C24F1F" w:rsidRDefault="00C24F1F" w14:paraId="779EA467" w14:textId="77777777">
      <w:pPr>
        <w:pStyle w:val="Header"/>
        <w:suppressAutoHyphens/>
      </w:pPr>
    </w:p>
    <w:p w:rsidRPr="00336DC2" w:rsidR="00C24F1F" w:rsidP="00E46AAE" w:rsidRDefault="00C24F1F" w14:paraId="1C15EE45" w14:textId="77777777">
      <w:pPr>
        <w:pStyle w:val="Header"/>
        <w:numPr>
          <w:ilvl w:val="0"/>
          <w:numId w:val="25"/>
        </w:numPr>
        <w:suppressAutoHyphens/>
        <w:overflowPunct/>
        <w:autoSpaceDE/>
        <w:autoSpaceDN/>
        <w:adjustRightInd/>
        <w:ind w:left="567" w:hanging="567"/>
        <w:textAlignment w:val="auto"/>
        <w:rPr>
          <w:color w:val="000000" w:themeColor="text1"/>
          <w:sz w:val="24"/>
          <w:szCs w:val="24"/>
        </w:rPr>
      </w:pPr>
      <w:r>
        <w:rPr>
          <w:color w:val="000000" w:themeColor="text1"/>
        </w:rPr>
        <w:t>poziva na veću financijsku potporu zelenim ulaganjima koja imaju učinak lavine, čime bi se mobilizirale daljnje mjere za poticanje zelene tranzicije;</w:t>
      </w:r>
    </w:p>
    <w:p w:rsidRPr="00CA30BB" w:rsidR="00C24F1F" w:rsidP="00C24F1F" w:rsidRDefault="00C24F1F" w14:paraId="10628172" w14:textId="77777777">
      <w:pPr>
        <w:pStyle w:val="Header"/>
        <w:rPr>
          <w:color w:val="000000" w:themeColor="text1"/>
          <w:sz w:val="24"/>
          <w:szCs w:val="24"/>
        </w:rPr>
      </w:pPr>
    </w:p>
    <w:p w:rsidRPr="00336DC2" w:rsidR="00C24F1F" w:rsidP="00E46AAE" w:rsidRDefault="00C24F1F" w14:paraId="2E0CA49E" w14:textId="77777777">
      <w:pPr>
        <w:pStyle w:val="Header"/>
        <w:numPr>
          <w:ilvl w:val="0"/>
          <w:numId w:val="25"/>
        </w:numPr>
        <w:suppressAutoHyphens/>
        <w:overflowPunct/>
        <w:autoSpaceDE/>
        <w:autoSpaceDN/>
        <w:adjustRightInd/>
        <w:ind w:left="567" w:hanging="567"/>
        <w:textAlignment w:val="auto"/>
      </w:pPr>
      <w:r>
        <w:t xml:space="preserve">ističe da bi, osim izravnog pristupa financiranju, lokalne i regionalne vlasti trebale dobiti odgovarajuću tehničku pomoć i potporu za izgradnju kapaciteta da bi se iskoristile postojeće mogućnosti financiranja, pomoglo tim vlastima u osiguravanju istinske ravnoteže između privatnih i javnih sredstava te u većoj mjeri koristilo zelenu i održivu javnu nabavu za ulaganja; </w:t>
      </w:r>
    </w:p>
    <w:p w:rsidRPr="00CA30BB" w:rsidR="00C24F1F" w:rsidP="00C24F1F" w:rsidRDefault="00C24F1F" w14:paraId="36140FB3" w14:textId="77777777">
      <w:pPr>
        <w:pStyle w:val="Header"/>
        <w:suppressAutoHyphens/>
        <w:rPr>
          <w:highlight w:val="yellow"/>
        </w:rPr>
      </w:pPr>
    </w:p>
    <w:p w:rsidRPr="00336DC2" w:rsidR="00C24F1F" w:rsidP="00E46AAE" w:rsidRDefault="00C24F1F" w14:paraId="3AAB18C0" w14:textId="77777777">
      <w:pPr>
        <w:pStyle w:val="ListParagraph"/>
        <w:numPr>
          <w:ilvl w:val="0"/>
          <w:numId w:val="25"/>
        </w:numPr>
        <w:suppressAutoHyphens/>
        <w:overflowPunct w:val="0"/>
        <w:autoSpaceDE w:val="0"/>
        <w:autoSpaceDN w:val="0"/>
        <w:adjustRightInd w:val="0"/>
        <w:ind w:left="567" w:hanging="567"/>
        <w:textAlignment w:val="baseline"/>
      </w:pPr>
      <w:r>
        <w:t>podržava zamisao o „zelenom proračunu” kao instrumentu za donošenje fiskalne politike kojim bi se doprinijelo postizanju okolišnih ciljeva, čime će se omogućiti procjena učinka proračunskih ili fiskalnih politika na okoliš, kao i njihova usklađenost s nastojanjima da se ispune nacionalne i međunarodne obveze</w:t>
      </w:r>
      <w:r w:rsidRPr="00336DC2">
        <w:rPr>
          <w:sz w:val="24"/>
          <w:szCs w:val="24"/>
          <w:vertAlign w:val="superscript"/>
        </w:rPr>
        <w:footnoteReference w:id="6"/>
      </w:r>
      <w:r>
        <w:t>;</w:t>
      </w:r>
    </w:p>
    <w:p w:rsidRPr="00336DC2" w:rsidR="00FD3087" w:rsidP="00CA30BB" w:rsidRDefault="00FD3087" w14:paraId="50E1459B" w14:textId="77777777">
      <w:pPr>
        <w:pStyle w:val="ListParagraph"/>
        <w:suppressAutoHyphens/>
        <w:overflowPunct w:val="0"/>
        <w:autoSpaceDE w:val="0"/>
        <w:autoSpaceDN w:val="0"/>
        <w:adjustRightInd w:val="0"/>
        <w:ind w:left="0"/>
        <w:textAlignment w:val="baseline"/>
      </w:pPr>
    </w:p>
    <w:p w:rsidRPr="00336DC2" w:rsidR="00FD3087" w:rsidP="00E46AAE" w:rsidRDefault="00FD3087" w14:paraId="6D382C90" w14:textId="77777777">
      <w:pPr>
        <w:pStyle w:val="ListParagraph"/>
        <w:numPr>
          <w:ilvl w:val="0"/>
          <w:numId w:val="25"/>
        </w:numPr>
        <w:suppressAutoHyphens/>
        <w:overflowPunct w:val="0"/>
        <w:autoSpaceDE w:val="0"/>
        <w:autoSpaceDN w:val="0"/>
        <w:adjustRightInd w:val="0"/>
        <w:ind w:left="567" w:hanging="567"/>
        <w:textAlignment w:val="baseline"/>
      </w:pPr>
      <w:r>
        <w:t>poziva na dodatno administrativno pojednostavljenje i smanjenje regulatornih prepreka razvoju i primjeni novih i inovativnih tehnologija i poslovnih modela;</w:t>
      </w:r>
    </w:p>
    <w:p w:rsidRPr="00336DC2" w:rsidR="00C24F1F" w:rsidP="00CA30BB" w:rsidRDefault="00C24F1F" w14:paraId="1F1287AD" w14:textId="77777777">
      <w:pPr>
        <w:pStyle w:val="ListParagraph"/>
        <w:ind w:left="0"/>
      </w:pPr>
    </w:p>
    <w:p w:rsidRPr="00336DC2" w:rsidR="00C24F1F" w:rsidP="00E46AAE" w:rsidRDefault="00C24F1F" w14:paraId="24EBB8F6" w14:textId="77777777">
      <w:pPr>
        <w:pStyle w:val="ListParagraph"/>
        <w:numPr>
          <w:ilvl w:val="0"/>
          <w:numId w:val="25"/>
        </w:numPr>
        <w:ind w:left="567" w:hanging="567"/>
      </w:pPr>
      <w:r>
        <w:t>ukazuje na to da su problemi povezani s provedbom klimatske politike uglavnom prepušteni lokalnim i regionalnim vlastima, dok se potencijalna sredstva (tj. prihodi od poreza, prava povezana s emisijama) uglavnom slijevaju u središnji proračun; poziva na preispitivanje pravila o pristupu sredstvima;</w:t>
      </w:r>
    </w:p>
    <w:p w:rsidRPr="00CA30BB" w:rsidR="00C24F1F" w:rsidP="00C24F1F" w:rsidRDefault="00C24F1F" w14:paraId="0223894A" w14:textId="77777777">
      <w:pPr>
        <w:pStyle w:val="Header"/>
        <w:rPr>
          <w:color w:val="000000" w:themeColor="text1"/>
          <w:highlight w:val="yellow"/>
        </w:rPr>
      </w:pPr>
    </w:p>
    <w:p w:rsidRPr="00336DC2" w:rsidR="00C24F1F" w:rsidP="00E46AAE" w:rsidRDefault="00C24F1F" w14:paraId="2856A025" w14:textId="77777777">
      <w:pPr>
        <w:keepNext/>
        <w:keepLines/>
        <w:rPr>
          <w:i/>
          <w:iCs/>
        </w:rPr>
      </w:pPr>
      <w:r>
        <w:rPr>
          <w:i/>
        </w:rPr>
        <w:t>Jačanje ponude usluga ekosustava</w:t>
      </w:r>
    </w:p>
    <w:p w:rsidRPr="00CA30BB" w:rsidR="00C24F1F" w:rsidP="00E46AAE" w:rsidRDefault="00C24F1F" w14:paraId="1E4A7121" w14:textId="77777777">
      <w:pPr>
        <w:keepNext/>
        <w:keepLines/>
      </w:pPr>
    </w:p>
    <w:p w:rsidRPr="00336DC2" w:rsidR="00C24F1F" w:rsidP="00E46AAE" w:rsidRDefault="00C24F1F" w14:paraId="28E2C69F" w14:textId="77777777">
      <w:pPr>
        <w:pStyle w:val="ListParagraph"/>
        <w:numPr>
          <w:ilvl w:val="0"/>
          <w:numId w:val="25"/>
        </w:numPr>
        <w:ind w:left="567" w:hanging="567"/>
      </w:pPr>
      <w:r>
        <w:t>ističe da treba poduzeti posebne mjere za pojednostavljenje upravljanja vodama u urbanim područjima, a osobito za racionalizaciju upravljanja vodnim resursima uzimajući u obzir povezanost sa slivnim područjem, te za uspostavu programa za razvoj malih ulaganja u zadržavanje vode i osnivanje fonda u tu svrhu;</w:t>
      </w:r>
    </w:p>
    <w:p w:rsidRPr="00CA30BB" w:rsidR="00C24F1F" w:rsidP="00C24F1F" w:rsidRDefault="00C24F1F" w14:paraId="1EEA8E1E" w14:textId="77777777"/>
    <w:p w:rsidRPr="00336DC2" w:rsidR="00C24F1F" w:rsidP="00E46AAE" w:rsidRDefault="00C24F1F" w14:paraId="275ACBE6" w14:textId="77777777">
      <w:pPr>
        <w:pStyle w:val="ListParagraph"/>
        <w:numPr>
          <w:ilvl w:val="0"/>
          <w:numId w:val="25"/>
        </w:numPr>
        <w:ind w:left="567" w:hanging="567"/>
      </w:pPr>
      <w:r>
        <w:lastRenderedPageBreak/>
        <w:t>zabrinut je zbog toga što, unatoč širokom području primjene zakonodavstva o okolišu u EU-u, i dalje postoje veliki nedostaci u pravnoj zaštiti ekosustava</w:t>
      </w:r>
      <w:r w:rsidRPr="00336DC2">
        <w:rPr>
          <w:sz w:val="24"/>
          <w:szCs w:val="24"/>
          <w:vertAlign w:val="superscript"/>
        </w:rPr>
        <w:footnoteReference w:id="7"/>
      </w:r>
      <w:r>
        <w:t>, iako je obnova ekosustava ključna za održavanje visoke kvalitete života i osiguravanje nastavka procesa potrebnih za održivi razvoj.</w:t>
      </w:r>
    </w:p>
    <w:p w:rsidRPr="00CA30BB" w:rsidR="00C24F1F" w:rsidP="00C24F1F" w:rsidRDefault="00C24F1F" w14:paraId="614CF678" w14:textId="77777777">
      <w:pPr>
        <w:jc w:val="left"/>
        <w:rPr>
          <w:highlight w:val="yellow"/>
        </w:rPr>
      </w:pPr>
    </w:p>
    <w:p w:rsidR="00165D30" w:rsidP="005712C8" w:rsidRDefault="00165D30" w14:paraId="6098311C" w14:textId="77777777">
      <w:pPr>
        <w:textAlignment w:val="auto"/>
      </w:pPr>
      <w:r>
        <w:t>Bruxelles, 30. lipnja 2022.</w:t>
      </w:r>
    </w:p>
    <w:p w:rsidR="00057978" w:rsidP="005712C8" w:rsidRDefault="00057978" w14:paraId="49A0DF01" w14:textId="77777777">
      <w:pPr>
        <w:textAlignment w:val="auto"/>
      </w:pPr>
    </w:p>
    <w:tbl>
      <w:tblPr>
        <w:tblW w:w="0" w:type="auto"/>
        <w:tblLayout w:type="fixed"/>
        <w:tblLook w:val="04A0" w:firstRow="1" w:lastRow="0" w:firstColumn="1" w:lastColumn="0" w:noHBand="0" w:noVBand="1"/>
      </w:tblPr>
      <w:tblGrid>
        <w:gridCol w:w="4644"/>
        <w:gridCol w:w="4645"/>
      </w:tblGrid>
      <w:tr w:rsidR="00057978" w:rsidTr="00057978" w14:paraId="792DE0E0" w14:textId="77777777">
        <w:tc>
          <w:tcPr>
            <w:tcW w:w="4644" w:type="dxa"/>
            <w:hideMark/>
          </w:tcPr>
          <w:p w:rsidRPr="003326AC" w:rsidR="00057978" w:rsidRDefault="00057978" w14:paraId="3B980F6B" w14:textId="77777777">
            <w:pPr>
              <w:overflowPunct/>
              <w:adjustRightInd/>
              <w:jc w:val="center"/>
            </w:pPr>
            <w:r>
              <w:t>Predsjednik</w:t>
            </w:r>
            <w:r>
              <w:br/>
              <w:t>Europskog odbora regija</w:t>
            </w:r>
            <w:r>
              <w:br/>
            </w:r>
            <w:r>
              <w:br/>
            </w:r>
            <w:r>
              <w:br/>
            </w:r>
            <w:r>
              <w:br/>
            </w:r>
            <w:r>
              <w:br/>
              <w:t>Vasco Alves Cordeiro</w:t>
            </w:r>
          </w:p>
        </w:tc>
        <w:tc>
          <w:tcPr>
            <w:tcW w:w="4645" w:type="dxa"/>
          </w:tcPr>
          <w:p w:rsidR="00057978" w:rsidRDefault="00057978" w14:paraId="53943E7B" w14:textId="77777777">
            <w:pPr>
              <w:overflowPunct/>
              <w:adjustRightInd/>
              <w:jc w:val="center"/>
              <w:rPr>
                <w:szCs w:val="22"/>
                <w:lang w:val="en-US"/>
              </w:rPr>
            </w:pPr>
          </w:p>
        </w:tc>
      </w:tr>
      <w:tr w:rsidR="00057978" w:rsidTr="00057978" w14:paraId="25E895D8" w14:textId="77777777">
        <w:tc>
          <w:tcPr>
            <w:tcW w:w="4644" w:type="dxa"/>
          </w:tcPr>
          <w:p w:rsidR="00057978" w:rsidRDefault="00057978" w14:paraId="7018FCAA" w14:textId="77777777">
            <w:pPr>
              <w:overflowPunct/>
              <w:adjustRightInd/>
              <w:jc w:val="center"/>
              <w:rPr>
                <w:szCs w:val="22"/>
                <w:lang w:val="en-US"/>
              </w:rPr>
            </w:pPr>
          </w:p>
        </w:tc>
        <w:tc>
          <w:tcPr>
            <w:tcW w:w="4645" w:type="dxa"/>
            <w:hideMark/>
          </w:tcPr>
          <w:p w:rsidR="00057978" w:rsidRDefault="00057978" w14:paraId="09A1F960" w14:textId="77777777">
            <w:pPr>
              <w:overflowPunct/>
              <w:adjustRightInd/>
              <w:jc w:val="center"/>
              <w:rPr>
                <w:szCs w:val="22"/>
              </w:rPr>
            </w:pPr>
            <w:r>
              <w:t>Glavni tajnik</w:t>
            </w:r>
            <w:r>
              <w:br/>
              <w:t>Europskog odbora regija</w:t>
            </w:r>
            <w:r>
              <w:br/>
            </w:r>
            <w:r>
              <w:br/>
            </w:r>
            <w:r>
              <w:br/>
            </w:r>
            <w:r>
              <w:br/>
            </w:r>
            <w:r>
              <w:br/>
              <w:t xml:space="preserve">Petr Blížkovský </w:t>
            </w:r>
          </w:p>
        </w:tc>
      </w:tr>
    </w:tbl>
    <w:p w:rsidRPr="00336DC2" w:rsidR="00057978" w:rsidP="005712C8" w:rsidRDefault="00057978" w14:paraId="66C93B42" w14:textId="77777777">
      <w:pPr>
        <w:textAlignment w:val="auto"/>
      </w:pPr>
    </w:p>
    <w:p w:rsidRPr="00336DC2" w:rsidR="00165D30" w:rsidP="00BA0BA3" w:rsidRDefault="00165D30" w14:paraId="50F3513B" w14:textId="77777777">
      <w:pPr>
        <w:pStyle w:val="Heading1"/>
        <w:tabs>
          <w:tab w:val="left" w:pos="567"/>
        </w:tabs>
      </w:pPr>
      <w:r>
        <w:br w:type="page"/>
      </w:r>
      <w:r>
        <w:rPr>
          <w:b/>
        </w:rPr>
        <w:lastRenderedPageBreak/>
        <w:t>POSTUPAK</w:t>
      </w:r>
    </w:p>
    <w:p w:rsidRPr="00CA30BB" w:rsidR="00165D30" w:rsidP="005712C8" w:rsidRDefault="00165D30" w14:paraId="218020BF"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54"/>
        <w:gridCol w:w="5309"/>
      </w:tblGrid>
      <w:tr w:rsidRPr="00336DC2" w:rsidR="00165D30" w:rsidTr="004B6CF2" w14:paraId="5C96F306" w14:textId="77777777">
        <w:tc>
          <w:tcPr>
            <w:tcW w:w="2071" w:type="pct"/>
            <w:noWrap/>
          </w:tcPr>
          <w:p w:rsidRPr="00336DC2" w:rsidR="00165D30" w:rsidP="004B6CF2" w:rsidRDefault="00165D30" w14:paraId="4B7510D5" w14:textId="77777777">
            <w:pPr>
              <w:jc w:val="left"/>
              <w:rPr>
                <w:b/>
                <w:bCs/>
              </w:rPr>
            </w:pPr>
            <w:r>
              <w:rPr>
                <w:b/>
              </w:rPr>
              <w:t>Naslov:</w:t>
            </w:r>
          </w:p>
          <w:p w:rsidRPr="00CA30BB" w:rsidR="00165D30" w:rsidP="004B6CF2" w:rsidRDefault="00165D30" w14:paraId="6513A63A" w14:textId="77777777">
            <w:pPr>
              <w:jc w:val="left"/>
            </w:pPr>
          </w:p>
        </w:tc>
        <w:tc>
          <w:tcPr>
            <w:tcW w:w="2929" w:type="pct"/>
            <w:noWrap/>
          </w:tcPr>
          <w:p w:rsidRPr="00336DC2" w:rsidR="00165D30" w:rsidP="005712C8" w:rsidRDefault="00DF2221" w14:paraId="3DDCD9A9" w14:textId="77777777">
            <w:r>
              <w:t>Ekološka tranzicija – Kako sa stajališta gradova i regija uravnotežiti društvenu prihvatljivost i ekološke zahtjeve radi izgradnje otpornih zajednica?</w:t>
            </w:r>
          </w:p>
        </w:tc>
      </w:tr>
      <w:tr w:rsidRPr="00336DC2" w:rsidR="00DF2221" w:rsidTr="004B6CF2" w14:paraId="28CF8D9D" w14:textId="77777777">
        <w:tc>
          <w:tcPr>
            <w:tcW w:w="2071" w:type="pct"/>
            <w:noWrap/>
          </w:tcPr>
          <w:p w:rsidRPr="00336DC2" w:rsidR="00DF2221" w:rsidP="00DF2221" w:rsidRDefault="00DF2221" w14:paraId="25F603B9" w14:textId="77777777">
            <w:pPr>
              <w:jc w:val="left"/>
            </w:pPr>
            <w:r>
              <w:rPr>
                <w:b/>
              </w:rPr>
              <w:t>Referentni dokument/i:</w:t>
            </w:r>
          </w:p>
        </w:tc>
        <w:tc>
          <w:tcPr>
            <w:tcW w:w="2929" w:type="pct"/>
            <w:noWrap/>
          </w:tcPr>
          <w:p w:rsidRPr="00336DC2" w:rsidR="00DF2221" w:rsidP="00DF2221" w:rsidRDefault="00DF2221" w14:paraId="69F9A22D" w14:textId="77777777">
            <w:r>
              <w:t>zahtjev predsjedništva Vijeća za savjetovanje</w:t>
            </w:r>
          </w:p>
        </w:tc>
      </w:tr>
      <w:tr w:rsidRPr="00336DC2" w:rsidR="00DF2221" w:rsidTr="004B6CF2" w14:paraId="481AA0C0" w14:textId="77777777">
        <w:tc>
          <w:tcPr>
            <w:tcW w:w="2071" w:type="pct"/>
            <w:noWrap/>
          </w:tcPr>
          <w:p w:rsidRPr="00336DC2" w:rsidR="00DF2221" w:rsidP="00DF2221" w:rsidRDefault="00DF2221" w14:paraId="3D787DC7" w14:textId="77777777">
            <w:pPr>
              <w:jc w:val="left"/>
            </w:pPr>
            <w:r>
              <w:rPr>
                <w:b/>
              </w:rPr>
              <w:t>Pravna osnova:</w:t>
            </w:r>
          </w:p>
        </w:tc>
        <w:tc>
          <w:tcPr>
            <w:tcW w:w="2929" w:type="pct"/>
            <w:noWrap/>
          </w:tcPr>
          <w:p w:rsidRPr="00336DC2" w:rsidR="00DF2221" w:rsidP="00DF2221" w:rsidRDefault="00DF2221" w14:paraId="527E088B" w14:textId="77777777">
            <w:r>
              <w:rPr>
                <w:color w:val="000000" w:themeColor="text1"/>
              </w:rPr>
              <w:t>pravilo 41. točka (b) podtočka i.</w:t>
            </w:r>
          </w:p>
        </w:tc>
      </w:tr>
      <w:tr w:rsidRPr="00336DC2" w:rsidR="00165D30" w:rsidTr="004B6CF2" w14:paraId="3F76E777" w14:textId="77777777">
        <w:tc>
          <w:tcPr>
            <w:tcW w:w="2071" w:type="pct"/>
            <w:noWrap/>
          </w:tcPr>
          <w:p w:rsidRPr="00336DC2" w:rsidR="00165D30" w:rsidP="004B6CF2" w:rsidRDefault="00165D30" w14:paraId="4095C0F0" w14:textId="77777777">
            <w:pPr>
              <w:jc w:val="left"/>
            </w:pPr>
            <w:r>
              <w:rPr>
                <w:b/>
              </w:rPr>
              <w:t>Postupovna osnova:</w:t>
            </w:r>
          </w:p>
        </w:tc>
        <w:tc>
          <w:tcPr>
            <w:tcW w:w="2929" w:type="pct"/>
            <w:noWrap/>
          </w:tcPr>
          <w:p w:rsidRPr="00CA30BB" w:rsidR="00165D30" w:rsidP="005712C8" w:rsidRDefault="00165D30" w14:paraId="4C179333" w14:textId="77777777"/>
        </w:tc>
      </w:tr>
      <w:tr w:rsidRPr="00336DC2" w:rsidR="00165D30" w:rsidTr="004B6CF2" w14:paraId="4783EC1D" w14:textId="77777777">
        <w:tc>
          <w:tcPr>
            <w:tcW w:w="2071" w:type="pct"/>
            <w:noWrap/>
          </w:tcPr>
          <w:p w:rsidRPr="00336DC2" w:rsidR="00165D30" w:rsidP="004B6CF2" w:rsidRDefault="00766C08" w14:paraId="4F9A9533" w14:textId="77777777">
            <w:pPr>
              <w:jc w:val="left"/>
            </w:pPr>
            <w:r>
              <w:rPr>
                <w:b/>
              </w:rPr>
              <w:t>Datum zahtjeva Vijeća/EP-a za savjetovanje / Datum dopisa Komisije:</w:t>
            </w:r>
          </w:p>
        </w:tc>
        <w:tc>
          <w:tcPr>
            <w:tcW w:w="2929" w:type="pct"/>
            <w:noWrap/>
          </w:tcPr>
          <w:p w:rsidRPr="00CA30BB" w:rsidR="00165D30" w:rsidP="005712C8" w:rsidRDefault="00165D30" w14:paraId="785A9E9D" w14:textId="77777777"/>
        </w:tc>
      </w:tr>
      <w:tr w:rsidRPr="00336DC2" w:rsidR="00165D30" w:rsidTr="004B6CF2" w14:paraId="00E6D2C1" w14:textId="77777777">
        <w:tc>
          <w:tcPr>
            <w:tcW w:w="2071" w:type="pct"/>
            <w:noWrap/>
          </w:tcPr>
          <w:p w:rsidRPr="00336DC2" w:rsidR="00165D30" w:rsidP="004B6CF2" w:rsidRDefault="00165D30" w14:paraId="2B05F0C6" w14:textId="77777777">
            <w:pPr>
              <w:jc w:val="left"/>
            </w:pPr>
            <w:r>
              <w:rPr>
                <w:b/>
              </w:rPr>
              <w:t>Datum odluke Predsjedništva/predsjednika:</w:t>
            </w:r>
          </w:p>
        </w:tc>
        <w:tc>
          <w:tcPr>
            <w:tcW w:w="2929" w:type="pct"/>
            <w:noWrap/>
          </w:tcPr>
          <w:p w:rsidRPr="00336DC2" w:rsidR="00165D30" w:rsidP="005712C8" w:rsidRDefault="00716306" w14:paraId="1DF2A669" w14:textId="77777777">
            <w:r>
              <w:t>16/12/2021</w:t>
            </w:r>
          </w:p>
        </w:tc>
      </w:tr>
      <w:tr w:rsidRPr="00336DC2" w:rsidR="00FD7E76" w:rsidTr="004B6CF2" w14:paraId="7EF08C62" w14:textId="77777777">
        <w:tc>
          <w:tcPr>
            <w:tcW w:w="2071" w:type="pct"/>
            <w:noWrap/>
          </w:tcPr>
          <w:p w:rsidRPr="00336DC2" w:rsidR="00FD7E76" w:rsidP="00FD7E76" w:rsidRDefault="00FD7E76" w14:paraId="322FE9F7" w14:textId="77777777">
            <w:pPr>
              <w:jc w:val="left"/>
            </w:pPr>
            <w:r>
              <w:rPr>
                <w:b/>
              </w:rPr>
              <w:t>Nadležno povjerenstvo:</w:t>
            </w:r>
          </w:p>
        </w:tc>
        <w:tc>
          <w:tcPr>
            <w:tcW w:w="2929" w:type="pct"/>
            <w:noWrap/>
          </w:tcPr>
          <w:p w:rsidRPr="00336DC2" w:rsidR="00FD7E76" w:rsidP="00FD7E76" w:rsidRDefault="00FD7E76" w14:paraId="732F76E1" w14:textId="77777777">
            <w:r>
              <w:t>Povjerenstvo za okoliš, klimatske promjene i energiju</w:t>
            </w:r>
          </w:p>
        </w:tc>
      </w:tr>
      <w:tr w:rsidRPr="00336DC2" w:rsidR="00FD7E76" w:rsidTr="004B6CF2" w14:paraId="7A4B9458" w14:textId="77777777">
        <w:tc>
          <w:tcPr>
            <w:tcW w:w="2071" w:type="pct"/>
            <w:noWrap/>
          </w:tcPr>
          <w:p w:rsidRPr="00336DC2" w:rsidR="00FD7E76" w:rsidP="00FD7E76" w:rsidRDefault="00FD7E76" w14:paraId="6D4690BF" w14:textId="77777777">
            <w:pPr>
              <w:jc w:val="left"/>
            </w:pPr>
            <w:r>
              <w:rPr>
                <w:b/>
              </w:rPr>
              <w:t>Izvjestitelj/ica:</w:t>
            </w:r>
          </w:p>
        </w:tc>
        <w:tc>
          <w:tcPr>
            <w:tcW w:w="2929" w:type="pct"/>
            <w:noWrap/>
          </w:tcPr>
          <w:p w:rsidRPr="00336DC2" w:rsidR="00FD7E76" w:rsidP="00FD7E76" w:rsidRDefault="00FD7E76" w14:paraId="472BE70C" w14:textId="77777777">
            <w:pPr>
              <w:suppressAutoHyphens/>
            </w:pPr>
            <w:r>
              <w:t>Hanna Zdanowska (PL/EPP), gradonačelnica Łódźa</w:t>
            </w:r>
          </w:p>
        </w:tc>
      </w:tr>
      <w:tr w:rsidRPr="00336DC2" w:rsidR="00FD7E76" w:rsidTr="004B6CF2" w14:paraId="5EA5121C" w14:textId="77777777">
        <w:tc>
          <w:tcPr>
            <w:tcW w:w="2071" w:type="pct"/>
            <w:noWrap/>
          </w:tcPr>
          <w:p w:rsidRPr="00336DC2" w:rsidR="00FD7E76" w:rsidP="00FD7E76" w:rsidRDefault="00FD7E76" w14:paraId="4086DDC5" w14:textId="77777777">
            <w:pPr>
              <w:jc w:val="left"/>
            </w:pPr>
            <w:r>
              <w:rPr>
                <w:b/>
              </w:rPr>
              <w:t>Analiza:</w:t>
            </w:r>
          </w:p>
        </w:tc>
        <w:tc>
          <w:tcPr>
            <w:tcW w:w="2929" w:type="pct"/>
            <w:noWrap/>
          </w:tcPr>
          <w:p w:rsidRPr="00336DC2" w:rsidR="00FD7E76" w:rsidP="00FD7E76" w:rsidRDefault="004A6865" w14:paraId="10F69454" w14:textId="77777777">
            <w:r>
              <w:t>–</w:t>
            </w:r>
          </w:p>
        </w:tc>
      </w:tr>
      <w:tr w:rsidRPr="00336DC2" w:rsidR="00FD7E76" w:rsidTr="004B6CF2" w14:paraId="48142CB7" w14:textId="77777777">
        <w:tc>
          <w:tcPr>
            <w:tcW w:w="2071" w:type="pct"/>
            <w:noWrap/>
          </w:tcPr>
          <w:p w:rsidRPr="00336DC2" w:rsidR="00FD7E76" w:rsidP="00FD7E76" w:rsidRDefault="00FD7E76" w14:paraId="7DB4B3D4" w14:textId="77777777">
            <w:pPr>
              <w:jc w:val="left"/>
              <w:rPr>
                <w:b/>
              </w:rPr>
            </w:pPr>
            <w:r>
              <w:rPr>
                <w:b/>
              </w:rPr>
              <w:t>Rasprava u Povjerenstvu:</w:t>
            </w:r>
          </w:p>
        </w:tc>
        <w:tc>
          <w:tcPr>
            <w:tcW w:w="2929" w:type="pct"/>
            <w:noWrap/>
          </w:tcPr>
          <w:p w:rsidRPr="00CA30BB" w:rsidR="00FD7E76" w:rsidP="00FD7E76" w:rsidRDefault="00FD7E76" w14:paraId="1863CF4B" w14:textId="77777777"/>
        </w:tc>
      </w:tr>
      <w:tr w:rsidRPr="00336DC2" w:rsidR="004A6865" w:rsidTr="004B6CF2" w14:paraId="23BB0E8C" w14:textId="77777777">
        <w:tc>
          <w:tcPr>
            <w:tcW w:w="2071" w:type="pct"/>
            <w:noWrap/>
          </w:tcPr>
          <w:p w:rsidRPr="00336DC2" w:rsidR="004A6865" w:rsidP="004A6865" w:rsidRDefault="004A6865" w14:paraId="4904325C" w14:textId="77777777">
            <w:pPr>
              <w:jc w:val="left"/>
              <w:rPr>
                <w:b/>
              </w:rPr>
            </w:pPr>
            <w:r>
              <w:rPr>
                <w:b/>
              </w:rPr>
              <w:t>Datum usvajanja u Povjerenstvu:</w:t>
            </w:r>
          </w:p>
        </w:tc>
        <w:tc>
          <w:tcPr>
            <w:tcW w:w="2929" w:type="pct"/>
            <w:noWrap/>
          </w:tcPr>
          <w:p w:rsidRPr="00336DC2" w:rsidR="004A6865" w:rsidP="004A6865" w:rsidRDefault="004E2B8B" w14:paraId="410CD102" w14:textId="77777777">
            <w:pPr>
              <w:suppressAutoHyphens/>
            </w:pPr>
            <w:r>
              <w:t>31. svibnja 2022.</w:t>
            </w:r>
          </w:p>
        </w:tc>
      </w:tr>
      <w:tr w:rsidRPr="00336DC2" w:rsidR="004A6865" w:rsidTr="004B6CF2" w14:paraId="2776415B" w14:textId="77777777">
        <w:tc>
          <w:tcPr>
            <w:tcW w:w="2071" w:type="pct"/>
            <w:noWrap/>
          </w:tcPr>
          <w:p w:rsidRPr="00336DC2" w:rsidR="004A6865" w:rsidP="004A6865" w:rsidRDefault="004A6865" w14:paraId="5A29DC03" w14:textId="77777777">
            <w:pPr>
              <w:jc w:val="left"/>
              <w:rPr>
                <w:b/>
              </w:rPr>
            </w:pPr>
            <w:r>
              <w:rPr>
                <w:b/>
              </w:rPr>
              <w:t>Rezultat glasanja Povjerenstva</w:t>
            </w:r>
          </w:p>
          <w:p w:rsidRPr="00336DC2" w:rsidR="004A6865" w:rsidP="004A6865" w:rsidRDefault="004A6865" w14:paraId="12EA400D" w14:textId="77777777">
            <w:pPr>
              <w:jc w:val="left"/>
              <w:rPr>
                <w:b/>
              </w:rPr>
            </w:pPr>
            <w:r>
              <w:rPr>
                <w:b/>
              </w:rPr>
              <w:t>(većina, jednoglasno):</w:t>
            </w:r>
          </w:p>
        </w:tc>
        <w:tc>
          <w:tcPr>
            <w:tcW w:w="2929" w:type="pct"/>
            <w:noWrap/>
          </w:tcPr>
          <w:p w:rsidRPr="00336DC2" w:rsidR="004A6865" w:rsidRDefault="00CF0490" w14:paraId="3FA7E7D9" w14:textId="77777777">
            <w:pPr>
              <w:suppressAutoHyphens/>
            </w:pPr>
            <w:r>
              <w:t>jednoglasno</w:t>
            </w:r>
          </w:p>
        </w:tc>
      </w:tr>
      <w:tr w:rsidRPr="00336DC2" w:rsidR="004A6865" w:rsidTr="004B6CF2" w14:paraId="5FB8459A" w14:textId="77777777">
        <w:tc>
          <w:tcPr>
            <w:tcW w:w="2071" w:type="pct"/>
            <w:noWrap/>
          </w:tcPr>
          <w:p w:rsidRPr="00336DC2" w:rsidR="004A6865" w:rsidP="004A6865" w:rsidRDefault="004A6865" w14:paraId="7EB60B82" w14:textId="77777777">
            <w:pPr>
              <w:jc w:val="left"/>
              <w:rPr>
                <w:b/>
              </w:rPr>
            </w:pPr>
            <w:r>
              <w:rPr>
                <w:b/>
              </w:rPr>
              <w:t>Datum usvajanja na plenarnom zasjedanju:</w:t>
            </w:r>
          </w:p>
        </w:tc>
        <w:tc>
          <w:tcPr>
            <w:tcW w:w="2929" w:type="pct"/>
            <w:noWrap/>
          </w:tcPr>
          <w:p w:rsidRPr="00336DC2" w:rsidR="004A6865" w:rsidRDefault="004E2B8B" w14:paraId="28E4770F" w14:textId="77777777">
            <w:pPr>
              <w:suppressAutoHyphens/>
            </w:pPr>
            <w:r>
              <w:t xml:space="preserve">30. lipnja 2022. </w:t>
            </w:r>
          </w:p>
        </w:tc>
      </w:tr>
      <w:tr w:rsidRPr="00336DC2" w:rsidR="004A6865" w:rsidTr="004B6CF2" w14:paraId="2131494E" w14:textId="77777777">
        <w:tc>
          <w:tcPr>
            <w:tcW w:w="2071" w:type="pct"/>
            <w:noWrap/>
          </w:tcPr>
          <w:p w:rsidRPr="00336DC2" w:rsidR="004A6865" w:rsidP="004A6865" w:rsidRDefault="004A6865" w14:paraId="3B5305E7" w14:textId="77777777">
            <w:pPr>
              <w:jc w:val="left"/>
              <w:rPr>
                <w:b/>
              </w:rPr>
            </w:pPr>
            <w:r>
              <w:rPr>
                <w:b/>
              </w:rPr>
              <w:t>Prethodna mišljenja Odbora:</w:t>
            </w:r>
          </w:p>
        </w:tc>
        <w:tc>
          <w:tcPr>
            <w:tcW w:w="2929" w:type="pct"/>
            <w:noWrap/>
          </w:tcPr>
          <w:p w:rsidRPr="00336DC2" w:rsidR="004A6865" w:rsidP="004A6865" w:rsidRDefault="004A6865" w14:paraId="7B164A67" w14:textId="77777777">
            <w:pPr>
              <w:suppressAutoHyphens/>
            </w:pPr>
            <w:r>
              <w:t>–</w:t>
            </w:r>
          </w:p>
        </w:tc>
      </w:tr>
      <w:tr w:rsidRPr="00336DC2" w:rsidR="004A6865" w:rsidTr="004B6CF2" w14:paraId="4FDE4559" w14:textId="77777777">
        <w:tc>
          <w:tcPr>
            <w:tcW w:w="2071" w:type="pct"/>
            <w:noWrap/>
          </w:tcPr>
          <w:p w:rsidRPr="00336DC2" w:rsidR="004A6865" w:rsidP="004A6865" w:rsidRDefault="004A6865" w14:paraId="7AD600C9" w14:textId="77777777">
            <w:pPr>
              <w:jc w:val="left"/>
              <w:rPr>
                <w:b/>
              </w:rPr>
            </w:pPr>
            <w:r>
              <w:rPr>
                <w:b/>
                <w:color w:val="000000"/>
              </w:rPr>
              <w:t>Datum savjetovanja o praćenju primjene načela supsidijarnosti:</w:t>
            </w:r>
          </w:p>
        </w:tc>
        <w:tc>
          <w:tcPr>
            <w:tcW w:w="2929" w:type="pct"/>
            <w:noWrap/>
          </w:tcPr>
          <w:p w:rsidRPr="00336DC2" w:rsidR="004A6865" w:rsidP="004A6865" w:rsidRDefault="004A6865" w14:paraId="7EE91BD9" w14:textId="77777777">
            <w:r>
              <w:t>–</w:t>
            </w:r>
          </w:p>
        </w:tc>
      </w:tr>
    </w:tbl>
    <w:p w:rsidRPr="00CA30BB" w:rsidR="00165D30" w:rsidP="005712C8" w:rsidRDefault="00165D30" w14:paraId="1D17485E" w14:textId="77777777">
      <w:pPr>
        <w:rPr>
          <w:sz w:val="24"/>
          <w:szCs w:val="24"/>
        </w:rPr>
      </w:pPr>
    </w:p>
    <w:p w:rsidRPr="00336DC2" w:rsidR="00165D30" w:rsidP="005712C8" w:rsidRDefault="00165D30" w14:paraId="213FFA3E" w14:textId="77777777">
      <w:pPr>
        <w:jc w:val="center"/>
        <w:rPr>
          <w:sz w:val="24"/>
          <w:szCs w:val="24"/>
        </w:rPr>
      </w:pPr>
      <w:r>
        <w:t>___________</w:t>
      </w:r>
    </w:p>
    <w:sectPr w:rsidRPr="00336DC2" w:rsidR="00165D30" w:rsidSect="0052466F">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4982" w14:textId="77777777" w:rsidR="001A22F2" w:rsidRDefault="001A22F2">
      <w:r>
        <w:separator/>
      </w:r>
    </w:p>
  </w:endnote>
  <w:endnote w:type="continuationSeparator" w:id="0">
    <w:p w14:paraId="33CC3BEF" w14:textId="77777777" w:rsidR="001A22F2" w:rsidRDefault="001A22F2">
      <w:r>
        <w:continuationSeparator/>
      </w:r>
    </w:p>
  </w:endnote>
  <w:endnote w:type="continuationNotice" w:id="1">
    <w:p w14:paraId="29C90529" w14:textId="77777777" w:rsidR="007E5262" w:rsidRDefault="007E52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E830" w14:textId="77777777" w:rsidR="0052466F" w:rsidRPr="0052466F" w:rsidRDefault="0052466F" w:rsidP="00524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F5AA" w14:textId="38E4087F" w:rsidR="004B6CF2" w:rsidRPr="0052466F" w:rsidRDefault="0052466F" w:rsidP="0052466F">
    <w:pPr>
      <w:pStyle w:val="Footer"/>
    </w:pPr>
    <w:r>
      <w:t xml:space="preserve">COR-2022-00104-00-00-AC-TRA (EN) </w:t>
    </w:r>
    <w:r>
      <w:fldChar w:fldCharType="begin"/>
    </w:r>
    <w:r>
      <w:instrText xml:space="preserve"> PAGE  \* Arabic  \* MERGEFORMAT </w:instrText>
    </w:r>
    <w:r>
      <w:fldChar w:fldCharType="separate"/>
    </w:r>
    <w:r w:rsidR="00C84360">
      <w:rPr>
        <w:noProof/>
      </w:rPr>
      <w:t>1</w:t>
    </w:r>
    <w:r>
      <w:fldChar w:fldCharType="end"/>
    </w:r>
    <w:r>
      <w:t>/</w:t>
    </w:r>
    <w:fldSimple w:instr=" NUMPAGES ">
      <w:r w:rsidR="00C84360">
        <w:t>13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99AA" w14:textId="77777777" w:rsidR="0052466F" w:rsidRPr="0052466F" w:rsidRDefault="0052466F" w:rsidP="00524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8F1B" w14:textId="77777777" w:rsidR="0052466F" w:rsidRPr="0052466F" w:rsidRDefault="0052466F" w:rsidP="00524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A121" w14:textId="62EA13E0" w:rsidR="0052466F" w:rsidRPr="0052466F" w:rsidRDefault="0052466F" w:rsidP="0052466F">
    <w:pPr>
      <w:pStyle w:val="Footer"/>
    </w:pPr>
    <w:r>
      <w:t xml:space="preserve">COR-2022-00104-00-00-AC-TRA (EN) </w:t>
    </w:r>
    <w:r>
      <w:fldChar w:fldCharType="begin"/>
    </w:r>
    <w:r>
      <w:instrText xml:space="preserve"> PAGE  \* Arabic  \* MERGEFORMAT </w:instrText>
    </w:r>
    <w:r>
      <w:fldChar w:fldCharType="separate"/>
    </w:r>
    <w:r w:rsidR="00DF3DA5">
      <w:rPr>
        <w:noProof/>
      </w:rPr>
      <w:t>13</w:t>
    </w:r>
    <w:r>
      <w:fldChar w:fldCharType="end"/>
    </w:r>
    <w:r>
      <w:t>/</w:t>
    </w:r>
    <w:fldSimple w:instr=" NUMPAGES ">
      <w:r w:rsidR="00DF3DA5">
        <w:rPr>
          <w:noProof/>
        </w:rPr>
        <w:t>13</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A66E" w14:textId="77777777" w:rsidR="0052466F" w:rsidRPr="0052466F" w:rsidRDefault="0052466F" w:rsidP="00524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D348" w14:textId="77777777" w:rsidR="001A22F2" w:rsidRDefault="001A22F2">
      <w:r>
        <w:separator/>
      </w:r>
    </w:p>
  </w:footnote>
  <w:footnote w:type="continuationSeparator" w:id="0">
    <w:p w14:paraId="70A9CF5A" w14:textId="77777777" w:rsidR="001A22F2" w:rsidRDefault="001A22F2">
      <w:r>
        <w:continuationSeparator/>
      </w:r>
    </w:p>
  </w:footnote>
  <w:footnote w:type="continuationNotice" w:id="1">
    <w:p w14:paraId="21A2B2D3" w14:textId="77777777" w:rsidR="007E5262" w:rsidRDefault="007E5262">
      <w:pPr>
        <w:spacing w:line="240" w:lineRule="auto"/>
      </w:pPr>
    </w:p>
  </w:footnote>
  <w:footnote w:id="2">
    <w:p w14:paraId="58B6B0C6" w14:textId="6D454A6D" w:rsidR="00E67770" w:rsidRDefault="00E67770" w:rsidP="00CA30BB">
      <w:pPr>
        <w:pStyle w:val="FootnoteText"/>
        <w:ind w:left="567" w:hanging="567"/>
      </w:pPr>
      <w:r>
        <w:rPr>
          <w:rStyle w:val="FootnoteReference"/>
        </w:rPr>
        <w:footnoteRef/>
      </w:r>
      <w:r>
        <w:tab/>
      </w:r>
      <w:hyperlink r:id="rId1" w:history="1">
        <w:r w:rsidR="000E16F1">
          <w:rPr>
            <w:rStyle w:val="Hyperlink"/>
          </w:rPr>
          <w:t>https://eur-lex.europa.eu/legal-content/HR/TXT/?uri=COM%3A2021%3A82%3AFIN</w:t>
        </w:r>
      </w:hyperlink>
    </w:p>
  </w:footnote>
  <w:footnote w:id="3">
    <w:p w14:paraId="73A86EB9" w14:textId="77777777" w:rsidR="00E67770" w:rsidRDefault="00E67770" w:rsidP="00CA30BB">
      <w:pPr>
        <w:pStyle w:val="FootnoteText"/>
        <w:ind w:left="567" w:hanging="567"/>
      </w:pPr>
      <w:r>
        <w:rPr>
          <w:rStyle w:val="FootnoteReference"/>
        </w:rPr>
        <w:footnoteRef/>
      </w:r>
      <w:r>
        <w:tab/>
      </w:r>
      <w:hyperlink r:id="rId2" w:history="1">
        <w:r>
          <w:rPr>
            <w:rStyle w:val="Hyperlink"/>
          </w:rPr>
          <w:t>https://report.ipcc.ch/ar6wg2/pdf/IPCC_AR6_WGII_FinalDraft_FullReport.pdf</w:t>
        </w:r>
      </w:hyperlink>
    </w:p>
  </w:footnote>
  <w:footnote w:id="4">
    <w:p w14:paraId="1FACA466" w14:textId="77777777" w:rsidR="00C24F1F" w:rsidRDefault="00C24F1F" w:rsidP="00E46AAE">
      <w:pPr>
        <w:pStyle w:val="FootnoteText"/>
        <w:ind w:left="567" w:hanging="567"/>
      </w:pPr>
      <w:r>
        <w:rPr>
          <w:rStyle w:val="FootnoteReference"/>
        </w:rPr>
        <w:footnoteRef/>
      </w:r>
      <w:r>
        <w:tab/>
      </w:r>
      <w:r>
        <w:rPr>
          <w:i/>
        </w:rPr>
        <w:t>Climate change adaptation and disaster risk reduction in Europe</w:t>
      </w:r>
      <w:r>
        <w:t xml:space="preserve"> – </w:t>
      </w:r>
      <w:r>
        <w:rPr>
          <w:i/>
        </w:rPr>
        <w:t>Enhancing coherence of the knowledge base, policies and practices</w:t>
      </w:r>
      <w:r>
        <w:t xml:space="preserve"> 15/2017 (Prilagodba klimatskim promjenama i smanjenje rizika od katastrofa u Europi – Jačanje usklađenosti baze znanja, politika i praksi), EEA – </w:t>
      </w:r>
      <w:hyperlink r:id="rId3" w:history="1">
        <w:r>
          <w:rPr>
            <w:rStyle w:val="Hyperlink"/>
          </w:rPr>
          <w:t>https://www.eea.europa.eu/publications/climate-change-adaptation-and-disaster</w:t>
        </w:r>
      </w:hyperlink>
      <w:r>
        <w:t>.</w:t>
      </w:r>
    </w:p>
  </w:footnote>
  <w:footnote w:id="5">
    <w:p w14:paraId="3D2B93D4" w14:textId="77777777" w:rsidR="00C24F1F" w:rsidRPr="000052FC" w:rsidRDefault="00C24F1F" w:rsidP="00E46AAE">
      <w:pPr>
        <w:pStyle w:val="FootnoteText"/>
        <w:ind w:left="567" w:hanging="567"/>
      </w:pPr>
      <w:r>
        <w:rPr>
          <w:rStyle w:val="FootnoteReference"/>
        </w:rPr>
        <w:footnoteRef/>
      </w:r>
      <w:r>
        <w:tab/>
      </w:r>
      <w:hyperlink r:id="rId4">
        <w:r>
          <w:rPr>
            <w:rStyle w:val="Hyperlink"/>
          </w:rPr>
          <w:t>https://climate-adapt.eea.europa.eu/eu-adaptation-policy/sector-policies/ecosystem</w:t>
        </w:r>
      </w:hyperlink>
      <w:r>
        <w:t xml:space="preserve"> </w:t>
      </w:r>
    </w:p>
  </w:footnote>
  <w:footnote w:id="6">
    <w:p w14:paraId="4BD2FD63" w14:textId="77777777" w:rsidR="00C24F1F" w:rsidRPr="000052FC" w:rsidRDefault="00C24F1F" w:rsidP="00E46AAE">
      <w:pPr>
        <w:pStyle w:val="FootnoteText"/>
        <w:ind w:left="567" w:hanging="567"/>
      </w:pPr>
      <w:r>
        <w:rPr>
          <w:rStyle w:val="FootnoteReference"/>
        </w:rPr>
        <w:footnoteRef/>
      </w:r>
      <w:r>
        <w:tab/>
      </w:r>
      <w:hyperlink r:id="rId5" w:history="1">
        <w:r>
          <w:rPr>
            <w:rStyle w:val="Hyperlink"/>
          </w:rPr>
          <w:t>https://www.oecd.org/environment/green-budgeting/</w:t>
        </w:r>
      </w:hyperlink>
      <w:r>
        <w:t xml:space="preserve"> </w:t>
      </w:r>
    </w:p>
  </w:footnote>
  <w:footnote w:id="7">
    <w:p w14:paraId="784FA2D7" w14:textId="77777777" w:rsidR="00386D6C" w:rsidRDefault="00C24F1F" w:rsidP="00E46AAE">
      <w:pPr>
        <w:pStyle w:val="FootnoteText"/>
        <w:ind w:left="567" w:hanging="567"/>
      </w:pPr>
      <w:r>
        <w:rPr>
          <w:rStyle w:val="FootnoteReference"/>
        </w:rPr>
        <w:footnoteRef/>
      </w:r>
      <w:r>
        <w:tab/>
      </w:r>
      <w:r>
        <w:rPr>
          <w:i/>
        </w:rPr>
        <w:t>Mapping and Assessment of Ecosystems and their Services: An EU ecosystem assessment</w:t>
      </w:r>
      <w:r>
        <w:t xml:space="preserve"> (Kartografski prikaz i procjena stanja ekosustava i njihovih usluga: procjena ekosustava EU-a), 2020. </w:t>
      </w:r>
      <w:hyperlink r:id="rId6" w:history="1">
        <w:r>
          <w:rPr>
            <w:rStyle w:val="Hyperlink"/>
          </w:rPr>
          <w:t>https://publications.jrc.ec.europa.eu/repository/handle/JRC120383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9256" w14:textId="77777777" w:rsidR="0052466F" w:rsidRPr="0052466F" w:rsidRDefault="0052466F" w:rsidP="00524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55F5" w14:textId="77777777" w:rsidR="0052466F" w:rsidRPr="0052466F" w:rsidRDefault="0052466F" w:rsidP="00524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50D1" w14:textId="77777777" w:rsidR="0052466F" w:rsidRPr="0052466F" w:rsidRDefault="0052466F" w:rsidP="00524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9E8D" w14:textId="77777777" w:rsidR="0052466F" w:rsidRPr="0052466F" w:rsidRDefault="0052466F" w:rsidP="00524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2FF9" w14:textId="77777777" w:rsidR="0052466F" w:rsidRPr="0052466F" w:rsidRDefault="0052466F" w:rsidP="005246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128B" w14:textId="77777777" w:rsidR="0052466F" w:rsidRPr="0052466F" w:rsidRDefault="0052466F" w:rsidP="00524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B410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6A58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8221E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32F5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64F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6D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6F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40F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909F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06E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CF8558C"/>
    <w:lvl w:ilvl="0">
      <w:start w:val="1"/>
      <w:numFmt w:val="upperRoman"/>
      <w:pStyle w:val="Heading1"/>
      <w:lvlText w:val="%1."/>
      <w:lvlJc w:val="left"/>
      <w:pPr>
        <w:ind w:left="0" w:firstLine="0"/>
      </w:pPr>
      <w:rPr>
        <w:rFonts w:hint="default"/>
        <w:b/>
        <w:i w:val="0"/>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decimal"/>
      <w:pStyle w:val="Heading5"/>
      <w:lvlText w:val="%1.%2.%3.%4.%5"/>
      <w:lvlJc w:val="left"/>
      <w:pPr>
        <w:ind w:left="0" w:firstLine="0"/>
      </w:pPr>
      <w:rPr>
        <w:rFonts w:cs="Times New Roman" w:hint="default"/>
      </w:rPr>
    </w:lvl>
    <w:lvl w:ilvl="5">
      <w:start w:val="1"/>
      <w:numFmt w:val="decimal"/>
      <w:pStyle w:val="Heading6"/>
      <w:lvlText w:val="%1.%2.%3.%4.%5.%6"/>
      <w:lvlJc w:val="left"/>
      <w:pPr>
        <w:ind w:left="0" w:firstLine="0"/>
      </w:pPr>
      <w:rPr>
        <w:rFonts w:cs="Times New Roman" w:hint="default"/>
      </w:rPr>
    </w:lvl>
    <w:lvl w:ilvl="6">
      <w:start w:val="1"/>
      <w:numFmt w:val="decimal"/>
      <w:pStyle w:val="Heading7"/>
      <w:lvlText w:val="%1.%2.%3.%4.%5.%6.%7"/>
      <w:lvlJc w:val="left"/>
      <w:pPr>
        <w:ind w:left="0" w:firstLine="0"/>
      </w:pPr>
      <w:rPr>
        <w:rFonts w:cs="Times New Roman" w:hint="default"/>
      </w:rPr>
    </w:lvl>
    <w:lvl w:ilvl="7">
      <w:start w:val="1"/>
      <w:numFmt w:val="decimal"/>
      <w:pStyle w:val="Heading8"/>
      <w:lvlText w:val="%1.%2.%3.%4.%5.%6.%7.%8"/>
      <w:lvlJc w:val="left"/>
      <w:pPr>
        <w:ind w:left="0" w:firstLine="0"/>
      </w:pPr>
      <w:rPr>
        <w:rFonts w:cs="Times New Roman" w:hint="default"/>
      </w:rPr>
    </w:lvl>
    <w:lvl w:ilvl="8">
      <w:start w:val="1"/>
      <w:numFmt w:val="decimal"/>
      <w:pStyle w:val="Heading9"/>
      <w:lvlText w:val="%1.%2.%3.%4.%5.%6.%7.%8.%9"/>
      <w:lvlJc w:val="left"/>
      <w:pPr>
        <w:ind w:left="0" w:firstLine="0"/>
      </w:pPr>
      <w:rPr>
        <w:rFonts w:cs="Times New Roman" w:hint="default"/>
      </w:rPr>
    </w:lvl>
  </w:abstractNum>
  <w:abstractNum w:abstractNumId="11"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4697D"/>
    <w:multiLevelType w:val="hybridMultilevel"/>
    <w:tmpl w:val="7576BDE0"/>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960A7F"/>
    <w:multiLevelType w:val="hybridMultilevel"/>
    <w:tmpl w:val="B9D25A84"/>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7B0160"/>
    <w:multiLevelType w:val="hybridMultilevel"/>
    <w:tmpl w:val="E9C829AE"/>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15:restartNumberingAfterBreak="0">
    <w:nsid w:val="3E7D78EF"/>
    <w:multiLevelType w:val="hybridMultilevel"/>
    <w:tmpl w:val="51AA6D0A"/>
    <w:lvl w:ilvl="0" w:tplc="23969108">
      <w:start w:val="1"/>
      <w:numFmt w:val="bullet"/>
      <w:lvlText w:val="-"/>
      <w:lvlJc w:val="left"/>
      <w:pPr>
        <w:tabs>
          <w:tab w:val="num" w:pos="0"/>
        </w:tabs>
        <w:ind w:left="369" w:hanging="369"/>
      </w:pPr>
      <w:rPr>
        <w:rFonts w:ascii="Times New Roman" w:hAnsi="Times New Roman" w:hint="default"/>
        <w:b w:val="0"/>
        <w:i w:val="0"/>
        <w:sz w:val="22"/>
      </w:rPr>
    </w:lvl>
    <w:lvl w:ilvl="1" w:tplc="9BDE0DC2">
      <w:start w:val="1"/>
      <w:numFmt w:val="bullet"/>
      <w:lvlText w:val=""/>
      <w:lvlJc w:val="left"/>
      <w:pPr>
        <w:tabs>
          <w:tab w:val="num" w:pos="1080"/>
        </w:tabs>
        <w:ind w:left="1449" w:hanging="369"/>
      </w:pPr>
      <w:rPr>
        <w:rFonts w:ascii="Times New Roman" w:hAnsi="Times New Roman" w:hint="default"/>
        <w:b w:val="0"/>
        <w:i w:val="0"/>
        <w:sz w:val="22"/>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6D6FF8"/>
    <w:multiLevelType w:val="hybridMultilevel"/>
    <w:tmpl w:val="ABC66076"/>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357B7A"/>
    <w:multiLevelType w:val="hybridMultilevel"/>
    <w:tmpl w:val="51AA6D0A"/>
    <w:lvl w:ilvl="0" w:tplc="8BFAA160">
      <w:start w:val="1"/>
      <w:numFmt w:val="bullet"/>
      <w:lvlText w:val="-"/>
      <w:lvlJc w:val="left"/>
      <w:pPr>
        <w:tabs>
          <w:tab w:val="num" w:pos="0"/>
        </w:tabs>
        <w:ind w:left="369" w:hanging="369"/>
      </w:pPr>
      <w:rPr>
        <w:rFonts w:ascii="Times New Roman" w:hAnsi="Times New Roman" w:hint="default"/>
        <w:b w:val="0"/>
        <w:i w:val="0"/>
        <w:sz w:val="22"/>
      </w:rPr>
    </w:lvl>
    <w:lvl w:ilvl="1" w:tplc="9BDE0DC2">
      <w:start w:val="1"/>
      <w:numFmt w:val="bullet"/>
      <w:lvlText w:val=""/>
      <w:lvlJc w:val="left"/>
      <w:pPr>
        <w:tabs>
          <w:tab w:val="num" w:pos="1080"/>
        </w:tabs>
        <w:ind w:left="1449" w:hanging="369"/>
      </w:pPr>
      <w:rPr>
        <w:rFonts w:ascii="Times New Roman" w:hAnsi="Times New Roman" w:hint="default"/>
        <w:b w:val="0"/>
        <w:i w:val="0"/>
        <w:sz w:val="22"/>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227B42"/>
    <w:multiLevelType w:val="hybridMultilevel"/>
    <w:tmpl w:val="D7C6597E"/>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872C35"/>
    <w:multiLevelType w:val="hybridMultilevel"/>
    <w:tmpl w:val="37AE91F2"/>
    <w:lvl w:ilvl="0" w:tplc="76B68898">
      <w:start w:val="1"/>
      <w:numFmt w:val="decimal"/>
      <w:lvlText w:val="%1."/>
      <w:lvlJc w:val="left"/>
      <w:pPr>
        <w:ind w:left="720" w:hanging="360"/>
      </w:pPr>
    </w:lvl>
    <w:lvl w:ilvl="1" w:tplc="CA4C7528">
      <w:start w:val="1"/>
      <w:numFmt w:val="lowerLetter"/>
      <w:lvlText w:val="%2."/>
      <w:lvlJc w:val="left"/>
      <w:pPr>
        <w:ind w:left="1440" w:hanging="360"/>
      </w:pPr>
    </w:lvl>
    <w:lvl w:ilvl="2" w:tplc="F06CF0DC">
      <w:start w:val="1"/>
      <w:numFmt w:val="lowerRoman"/>
      <w:lvlText w:val="%3."/>
      <w:lvlJc w:val="right"/>
      <w:pPr>
        <w:ind w:left="2160" w:hanging="180"/>
      </w:pPr>
    </w:lvl>
    <w:lvl w:ilvl="3" w:tplc="D604E422">
      <w:start w:val="1"/>
      <w:numFmt w:val="decimal"/>
      <w:lvlText w:val="%4."/>
      <w:lvlJc w:val="left"/>
      <w:pPr>
        <w:ind w:left="2880" w:hanging="360"/>
      </w:pPr>
    </w:lvl>
    <w:lvl w:ilvl="4" w:tplc="B0A2C7D4">
      <w:start w:val="1"/>
      <w:numFmt w:val="lowerLetter"/>
      <w:lvlText w:val="%5."/>
      <w:lvlJc w:val="left"/>
      <w:pPr>
        <w:ind w:left="3600" w:hanging="360"/>
      </w:pPr>
    </w:lvl>
    <w:lvl w:ilvl="5" w:tplc="8D768F88">
      <w:start w:val="1"/>
      <w:numFmt w:val="lowerRoman"/>
      <w:lvlText w:val="%6."/>
      <w:lvlJc w:val="right"/>
      <w:pPr>
        <w:ind w:left="4320" w:hanging="180"/>
      </w:pPr>
    </w:lvl>
    <w:lvl w:ilvl="6" w:tplc="E242AC96">
      <w:start w:val="1"/>
      <w:numFmt w:val="decimal"/>
      <w:lvlText w:val="%7."/>
      <w:lvlJc w:val="left"/>
      <w:pPr>
        <w:ind w:left="5040" w:hanging="360"/>
      </w:pPr>
    </w:lvl>
    <w:lvl w:ilvl="7" w:tplc="84A069A8">
      <w:start w:val="1"/>
      <w:numFmt w:val="lowerLetter"/>
      <w:lvlText w:val="%8."/>
      <w:lvlJc w:val="left"/>
      <w:pPr>
        <w:ind w:left="5760" w:hanging="360"/>
      </w:pPr>
    </w:lvl>
    <w:lvl w:ilvl="8" w:tplc="C4685CD4">
      <w:start w:val="1"/>
      <w:numFmt w:val="lowerRoman"/>
      <w:lvlText w:val="%9."/>
      <w:lvlJc w:val="right"/>
      <w:pPr>
        <w:ind w:left="6480" w:hanging="180"/>
      </w:pPr>
    </w:lvl>
  </w:abstractNum>
  <w:abstractNum w:abstractNumId="21" w15:restartNumberingAfterBreak="0">
    <w:nsid w:val="59C65A12"/>
    <w:multiLevelType w:val="hybridMultilevel"/>
    <w:tmpl w:val="36164AD6"/>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D91568"/>
    <w:multiLevelType w:val="hybridMultilevel"/>
    <w:tmpl w:val="F4DE7EBC"/>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num w:numId="1">
    <w:abstractNumId w:val="10"/>
  </w:num>
  <w:num w:numId="2">
    <w:abstractNumId w:val="15"/>
  </w:num>
  <w:num w:numId="3">
    <w:abstractNumId w:val="23"/>
  </w:num>
  <w:num w:numId="4">
    <w:abstractNumId w:val="16"/>
  </w:num>
  <w:num w:numId="5">
    <w:abstractNumId w:val="18"/>
  </w:num>
  <w:num w:numId="6">
    <w:abstractNumId w:val="14"/>
  </w:num>
  <w:num w:numId="7">
    <w:abstractNumId w:val="12"/>
  </w:num>
  <w:num w:numId="8">
    <w:abstractNumId w:val="22"/>
  </w:num>
  <w:num w:numId="9">
    <w:abstractNumId w:val="19"/>
  </w:num>
  <w:num w:numId="10">
    <w:abstractNumId w:val="21"/>
  </w:num>
  <w:num w:numId="11">
    <w:abstractNumId w:val="13"/>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7070"/>
    <w:rsid w:val="0003008B"/>
    <w:rsid w:val="00057978"/>
    <w:rsid w:val="000615B3"/>
    <w:rsid w:val="0007183E"/>
    <w:rsid w:val="00072AE1"/>
    <w:rsid w:val="00092B0C"/>
    <w:rsid w:val="000E16F1"/>
    <w:rsid w:val="00101C51"/>
    <w:rsid w:val="00101DBD"/>
    <w:rsid w:val="00110749"/>
    <w:rsid w:val="00110CE6"/>
    <w:rsid w:val="001114C7"/>
    <w:rsid w:val="001147EA"/>
    <w:rsid w:val="00117C7F"/>
    <w:rsid w:val="0013216E"/>
    <w:rsid w:val="00165D30"/>
    <w:rsid w:val="00173D8E"/>
    <w:rsid w:val="00197CCA"/>
    <w:rsid w:val="001A22F2"/>
    <w:rsid w:val="001B332C"/>
    <w:rsid w:val="001D29EA"/>
    <w:rsid w:val="001F0B6F"/>
    <w:rsid w:val="001F3849"/>
    <w:rsid w:val="00204859"/>
    <w:rsid w:val="002134B6"/>
    <w:rsid w:val="00232653"/>
    <w:rsid w:val="00240AB0"/>
    <w:rsid w:val="00254B94"/>
    <w:rsid w:val="002558EF"/>
    <w:rsid w:val="00262AC3"/>
    <w:rsid w:val="002659CC"/>
    <w:rsid w:val="002756BE"/>
    <w:rsid w:val="00286FB9"/>
    <w:rsid w:val="002973DD"/>
    <w:rsid w:val="002A74F8"/>
    <w:rsid w:val="002C2501"/>
    <w:rsid w:val="002E7F8D"/>
    <w:rsid w:val="002F03D6"/>
    <w:rsid w:val="00313D38"/>
    <w:rsid w:val="003203EE"/>
    <w:rsid w:val="0032231C"/>
    <w:rsid w:val="00326ACC"/>
    <w:rsid w:val="003326AC"/>
    <w:rsid w:val="00336DC2"/>
    <w:rsid w:val="003418D7"/>
    <w:rsid w:val="00343A83"/>
    <w:rsid w:val="00345F27"/>
    <w:rsid w:val="0035611B"/>
    <w:rsid w:val="0036064C"/>
    <w:rsid w:val="0036758B"/>
    <w:rsid w:val="003769C5"/>
    <w:rsid w:val="003826F1"/>
    <w:rsid w:val="00386D6C"/>
    <w:rsid w:val="00391DED"/>
    <w:rsid w:val="003C4D05"/>
    <w:rsid w:val="003D2AC3"/>
    <w:rsid w:val="004064CA"/>
    <w:rsid w:val="00407E28"/>
    <w:rsid w:val="00420738"/>
    <w:rsid w:val="00430A25"/>
    <w:rsid w:val="00452C61"/>
    <w:rsid w:val="0045690A"/>
    <w:rsid w:val="00471C28"/>
    <w:rsid w:val="00471C8C"/>
    <w:rsid w:val="004A6865"/>
    <w:rsid w:val="004B6CF2"/>
    <w:rsid w:val="004C0A99"/>
    <w:rsid w:val="004E1CD6"/>
    <w:rsid w:val="004E2B8B"/>
    <w:rsid w:val="004E728A"/>
    <w:rsid w:val="00502B01"/>
    <w:rsid w:val="00510FAA"/>
    <w:rsid w:val="0051325A"/>
    <w:rsid w:val="0052466F"/>
    <w:rsid w:val="00525A4A"/>
    <w:rsid w:val="00526D25"/>
    <w:rsid w:val="00530C2E"/>
    <w:rsid w:val="005508F2"/>
    <w:rsid w:val="00551028"/>
    <w:rsid w:val="0056757C"/>
    <w:rsid w:val="005712C8"/>
    <w:rsid w:val="0058626B"/>
    <w:rsid w:val="00592639"/>
    <w:rsid w:val="00595E60"/>
    <w:rsid w:val="00597F35"/>
    <w:rsid w:val="005B12FD"/>
    <w:rsid w:val="005B4EF4"/>
    <w:rsid w:val="005C0C35"/>
    <w:rsid w:val="005C35D6"/>
    <w:rsid w:val="005C4F1C"/>
    <w:rsid w:val="005D31A6"/>
    <w:rsid w:val="005F02ED"/>
    <w:rsid w:val="006106E1"/>
    <w:rsid w:val="00623B28"/>
    <w:rsid w:val="0067198E"/>
    <w:rsid w:val="006802C7"/>
    <w:rsid w:val="006919C5"/>
    <w:rsid w:val="006C4781"/>
    <w:rsid w:val="006E6611"/>
    <w:rsid w:val="006F3B03"/>
    <w:rsid w:val="00703338"/>
    <w:rsid w:val="00716306"/>
    <w:rsid w:val="0071767B"/>
    <w:rsid w:val="007457F6"/>
    <w:rsid w:val="00746520"/>
    <w:rsid w:val="00755CF5"/>
    <w:rsid w:val="00766C08"/>
    <w:rsid w:val="0077543F"/>
    <w:rsid w:val="007851B1"/>
    <w:rsid w:val="00786AE6"/>
    <w:rsid w:val="007A4CC9"/>
    <w:rsid w:val="007A5539"/>
    <w:rsid w:val="007B544C"/>
    <w:rsid w:val="007D40C0"/>
    <w:rsid w:val="007E3F01"/>
    <w:rsid w:val="007E5262"/>
    <w:rsid w:val="007F052F"/>
    <w:rsid w:val="008232B1"/>
    <w:rsid w:val="008255CB"/>
    <w:rsid w:val="00837FA5"/>
    <w:rsid w:val="0084449C"/>
    <w:rsid w:val="008466D7"/>
    <w:rsid w:val="00856169"/>
    <w:rsid w:val="00857B27"/>
    <w:rsid w:val="0086476A"/>
    <w:rsid w:val="00870DC8"/>
    <w:rsid w:val="00880573"/>
    <w:rsid w:val="00882E29"/>
    <w:rsid w:val="008853D1"/>
    <w:rsid w:val="008964BC"/>
    <w:rsid w:val="008B0439"/>
    <w:rsid w:val="008C05A5"/>
    <w:rsid w:val="008C7048"/>
    <w:rsid w:val="008D296A"/>
    <w:rsid w:val="008D438A"/>
    <w:rsid w:val="008D7BA8"/>
    <w:rsid w:val="008F62DC"/>
    <w:rsid w:val="009021F3"/>
    <w:rsid w:val="0090269E"/>
    <w:rsid w:val="00902FF6"/>
    <w:rsid w:val="0092085D"/>
    <w:rsid w:val="00922F2E"/>
    <w:rsid w:val="00936473"/>
    <w:rsid w:val="009406C7"/>
    <w:rsid w:val="00947D6D"/>
    <w:rsid w:val="009530A3"/>
    <w:rsid w:val="009761D3"/>
    <w:rsid w:val="00981DF0"/>
    <w:rsid w:val="00986738"/>
    <w:rsid w:val="00987DB7"/>
    <w:rsid w:val="009949F1"/>
    <w:rsid w:val="009A5D8F"/>
    <w:rsid w:val="009D2FAA"/>
    <w:rsid w:val="009E28F6"/>
    <w:rsid w:val="009E3738"/>
    <w:rsid w:val="009E5E8F"/>
    <w:rsid w:val="00A012E5"/>
    <w:rsid w:val="00A1124D"/>
    <w:rsid w:val="00A149AB"/>
    <w:rsid w:val="00A55D20"/>
    <w:rsid w:val="00A60005"/>
    <w:rsid w:val="00A6003E"/>
    <w:rsid w:val="00A63307"/>
    <w:rsid w:val="00A64CBF"/>
    <w:rsid w:val="00A667A2"/>
    <w:rsid w:val="00A87754"/>
    <w:rsid w:val="00AA3C21"/>
    <w:rsid w:val="00AA402F"/>
    <w:rsid w:val="00AB784D"/>
    <w:rsid w:val="00AC0FAB"/>
    <w:rsid w:val="00AC4E6C"/>
    <w:rsid w:val="00AC6E01"/>
    <w:rsid w:val="00AD3F44"/>
    <w:rsid w:val="00AE1332"/>
    <w:rsid w:val="00AF213E"/>
    <w:rsid w:val="00B36C14"/>
    <w:rsid w:val="00B41563"/>
    <w:rsid w:val="00B43F4F"/>
    <w:rsid w:val="00B6459B"/>
    <w:rsid w:val="00B70E14"/>
    <w:rsid w:val="00B73A29"/>
    <w:rsid w:val="00B84903"/>
    <w:rsid w:val="00B92239"/>
    <w:rsid w:val="00B9460D"/>
    <w:rsid w:val="00B95367"/>
    <w:rsid w:val="00B9743D"/>
    <w:rsid w:val="00BA0BA3"/>
    <w:rsid w:val="00BA3152"/>
    <w:rsid w:val="00BB3649"/>
    <w:rsid w:val="00BC5A4F"/>
    <w:rsid w:val="00BF261B"/>
    <w:rsid w:val="00BF7AE7"/>
    <w:rsid w:val="00C11614"/>
    <w:rsid w:val="00C1447D"/>
    <w:rsid w:val="00C231B9"/>
    <w:rsid w:val="00C24F1F"/>
    <w:rsid w:val="00C463DA"/>
    <w:rsid w:val="00C55BA7"/>
    <w:rsid w:val="00C62422"/>
    <w:rsid w:val="00C639CA"/>
    <w:rsid w:val="00C735F6"/>
    <w:rsid w:val="00C84360"/>
    <w:rsid w:val="00C90E21"/>
    <w:rsid w:val="00CA30BB"/>
    <w:rsid w:val="00CF0490"/>
    <w:rsid w:val="00D22D48"/>
    <w:rsid w:val="00D557E5"/>
    <w:rsid w:val="00D6686C"/>
    <w:rsid w:val="00D66B98"/>
    <w:rsid w:val="00DA00DE"/>
    <w:rsid w:val="00DB7F6A"/>
    <w:rsid w:val="00DC07B2"/>
    <w:rsid w:val="00DC4D93"/>
    <w:rsid w:val="00DD0D70"/>
    <w:rsid w:val="00DE64B3"/>
    <w:rsid w:val="00DF2221"/>
    <w:rsid w:val="00DF3DA5"/>
    <w:rsid w:val="00E04E04"/>
    <w:rsid w:val="00E26BCD"/>
    <w:rsid w:val="00E30DC2"/>
    <w:rsid w:val="00E46AAE"/>
    <w:rsid w:val="00E53AFF"/>
    <w:rsid w:val="00E61D11"/>
    <w:rsid w:val="00E64533"/>
    <w:rsid w:val="00E67770"/>
    <w:rsid w:val="00E70F5E"/>
    <w:rsid w:val="00EB3B52"/>
    <w:rsid w:val="00EE5845"/>
    <w:rsid w:val="00F0624D"/>
    <w:rsid w:val="00F45402"/>
    <w:rsid w:val="00F71EFD"/>
    <w:rsid w:val="00F72F25"/>
    <w:rsid w:val="00FC1F34"/>
    <w:rsid w:val="00FD3087"/>
    <w:rsid w:val="00FD7E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FA2E910"/>
  <w15:docId w15:val="{2A254E59-7BAF-4945-A308-98515CF3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hr-HR"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38"/>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703338"/>
    <w:pPr>
      <w:numPr>
        <w:numId w:val="1"/>
      </w:numPr>
      <w:outlineLvl w:val="0"/>
    </w:pPr>
    <w:rPr>
      <w:kern w:val="28"/>
    </w:rPr>
  </w:style>
  <w:style w:type="paragraph" w:styleId="Heading2">
    <w:name w:val="heading 2"/>
    <w:basedOn w:val="Normal"/>
    <w:next w:val="Normal"/>
    <w:link w:val="Heading2Char"/>
    <w:uiPriority w:val="9"/>
    <w:qFormat/>
    <w:rsid w:val="00703338"/>
    <w:pPr>
      <w:numPr>
        <w:ilvl w:val="1"/>
        <w:numId w:val="1"/>
      </w:numPr>
      <w:outlineLvl w:val="1"/>
    </w:pPr>
  </w:style>
  <w:style w:type="paragraph" w:styleId="Heading3">
    <w:name w:val="heading 3"/>
    <w:basedOn w:val="Normal"/>
    <w:next w:val="Normal"/>
    <w:link w:val="Heading3Char"/>
    <w:uiPriority w:val="9"/>
    <w:qFormat/>
    <w:rsid w:val="00703338"/>
    <w:pPr>
      <w:numPr>
        <w:ilvl w:val="2"/>
        <w:numId w:val="1"/>
      </w:numPr>
      <w:outlineLvl w:val="2"/>
    </w:pPr>
  </w:style>
  <w:style w:type="paragraph" w:styleId="Heading4">
    <w:name w:val="heading 4"/>
    <w:basedOn w:val="Normal"/>
    <w:next w:val="Normal"/>
    <w:link w:val="Heading4Char"/>
    <w:uiPriority w:val="9"/>
    <w:qFormat/>
    <w:rsid w:val="00703338"/>
    <w:pPr>
      <w:numPr>
        <w:ilvl w:val="3"/>
        <w:numId w:val="1"/>
      </w:numPr>
      <w:outlineLvl w:val="3"/>
    </w:pPr>
  </w:style>
  <w:style w:type="paragraph" w:styleId="Heading5">
    <w:name w:val="heading 5"/>
    <w:basedOn w:val="Normal"/>
    <w:next w:val="Normal"/>
    <w:link w:val="Heading5Char"/>
    <w:uiPriority w:val="9"/>
    <w:qFormat/>
    <w:rsid w:val="00703338"/>
    <w:pPr>
      <w:numPr>
        <w:ilvl w:val="4"/>
        <w:numId w:val="1"/>
      </w:numPr>
      <w:outlineLvl w:val="4"/>
    </w:pPr>
  </w:style>
  <w:style w:type="paragraph" w:styleId="Heading6">
    <w:name w:val="heading 6"/>
    <w:basedOn w:val="Normal"/>
    <w:next w:val="Normal"/>
    <w:link w:val="Heading6Char"/>
    <w:uiPriority w:val="9"/>
    <w:qFormat/>
    <w:rsid w:val="00703338"/>
    <w:pPr>
      <w:numPr>
        <w:ilvl w:val="5"/>
        <w:numId w:val="1"/>
      </w:numPr>
      <w:outlineLvl w:val="5"/>
    </w:pPr>
  </w:style>
  <w:style w:type="paragraph" w:styleId="Heading7">
    <w:name w:val="heading 7"/>
    <w:basedOn w:val="Normal"/>
    <w:next w:val="Normal"/>
    <w:link w:val="Heading7Char"/>
    <w:uiPriority w:val="9"/>
    <w:qFormat/>
    <w:rsid w:val="00703338"/>
    <w:pPr>
      <w:numPr>
        <w:ilvl w:val="6"/>
        <w:numId w:val="1"/>
      </w:numPr>
      <w:outlineLvl w:val="6"/>
    </w:pPr>
  </w:style>
  <w:style w:type="paragraph" w:styleId="Heading8">
    <w:name w:val="heading 8"/>
    <w:basedOn w:val="Normal"/>
    <w:next w:val="Normal"/>
    <w:link w:val="Heading8Char"/>
    <w:uiPriority w:val="9"/>
    <w:qFormat/>
    <w:rsid w:val="00703338"/>
    <w:pPr>
      <w:numPr>
        <w:ilvl w:val="7"/>
        <w:numId w:val="1"/>
      </w:numPr>
      <w:outlineLvl w:val="7"/>
    </w:pPr>
  </w:style>
  <w:style w:type="paragraph" w:styleId="Heading9">
    <w:name w:val="heading 9"/>
    <w:basedOn w:val="Normal"/>
    <w:next w:val="Normal"/>
    <w:link w:val="Heading9Char"/>
    <w:uiPriority w:val="9"/>
    <w:qFormat/>
    <w:rsid w:val="0070333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225"/>
    <w:rPr>
      <w:rFonts w:asciiTheme="majorHAnsi" w:eastAsiaTheme="majorEastAsia" w:hAnsiTheme="majorHAnsi" w:cstheme="majorBidi"/>
      <w:b/>
      <w:bCs/>
      <w:color w:val="365F91" w:themeColor="accent1" w:themeShade="BF"/>
      <w:sz w:val="28"/>
      <w:szCs w:val="28"/>
      <w:lang w:val="hr-HR" w:eastAsia="en-US"/>
    </w:rPr>
  </w:style>
  <w:style w:type="character" w:customStyle="1" w:styleId="Heading2Char">
    <w:name w:val="Heading 2 Char"/>
    <w:basedOn w:val="DefaultParagraphFont"/>
    <w:link w:val="Heading2"/>
    <w:uiPriority w:val="9"/>
    <w:semiHidden/>
    <w:rsid w:val="005F5225"/>
    <w:rPr>
      <w:rFonts w:asciiTheme="majorHAnsi" w:eastAsiaTheme="majorEastAsia" w:hAnsiTheme="majorHAnsi" w:cstheme="majorBidi"/>
      <w:b/>
      <w:bCs/>
      <w:color w:val="4F81BD" w:themeColor="accent1"/>
      <w:sz w:val="26"/>
      <w:szCs w:val="26"/>
      <w:lang w:val="hr-HR" w:eastAsia="en-US"/>
    </w:rPr>
  </w:style>
  <w:style w:type="character" w:customStyle="1" w:styleId="Heading3Char">
    <w:name w:val="Heading 3 Char"/>
    <w:basedOn w:val="DefaultParagraphFont"/>
    <w:link w:val="Heading3"/>
    <w:uiPriority w:val="9"/>
    <w:semiHidden/>
    <w:rsid w:val="005F5225"/>
    <w:rPr>
      <w:rFonts w:asciiTheme="majorHAnsi" w:eastAsiaTheme="majorEastAsia" w:hAnsiTheme="majorHAnsi" w:cstheme="majorBidi"/>
      <w:b/>
      <w:bCs/>
      <w:color w:val="4F81BD" w:themeColor="accent1"/>
      <w:sz w:val="22"/>
      <w:lang w:val="hr-HR" w:eastAsia="en-US"/>
    </w:rPr>
  </w:style>
  <w:style w:type="character" w:customStyle="1" w:styleId="Heading4Char">
    <w:name w:val="Heading 4 Char"/>
    <w:basedOn w:val="DefaultParagraphFont"/>
    <w:link w:val="Heading4"/>
    <w:uiPriority w:val="9"/>
    <w:semiHidden/>
    <w:rsid w:val="005F5225"/>
    <w:rPr>
      <w:rFonts w:asciiTheme="majorHAnsi" w:eastAsiaTheme="majorEastAsia" w:hAnsiTheme="majorHAnsi" w:cstheme="majorBidi"/>
      <w:b/>
      <w:bCs/>
      <w:i/>
      <w:iCs/>
      <w:color w:val="4F81BD" w:themeColor="accent1"/>
      <w:sz w:val="22"/>
      <w:lang w:val="hr-HR" w:eastAsia="en-US"/>
    </w:rPr>
  </w:style>
  <w:style w:type="character" w:customStyle="1" w:styleId="Heading5Char">
    <w:name w:val="Heading 5 Char"/>
    <w:basedOn w:val="DefaultParagraphFont"/>
    <w:link w:val="Heading5"/>
    <w:uiPriority w:val="9"/>
    <w:semiHidden/>
    <w:rsid w:val="005F5225"/>
    <w:rPr>
      <w:rFonts w:asciiTheme="majorHAnsi" w:eastAsiaTheme="majorEastAsia" w:hAnsiTheme="majorHAnsi" w:cstheme="majorBidi"/>
      <w:color w:val="243F60" w:themeColor="accent1" w:themeShade="7F"/>
      <w:sz w:val="22"/>
      <w:lang w:val="hr-HR" w:eastAsia="en-US"/>
    </w:rPr>
  </w:style>
  <w:style w:type="character" w:customStyle="1" w:styleId="Heading6Char">
    <w:name w:val="Heading 6 Char"/>
    <w:basedOn w:val="DefaultParagraphFont"/>
    <w:link w:val="Heading6"/>
    <w:uiPriority w:val="9"/>
    <w:semiHidden/>
    <w:rsid w:val="005F5225"/>
    <w:rPr>
      <w:rFonts w:asciiTheme="majorHAnsi" w:eastAsiaTheme="majorEastAsia" w:hAnsiTheme="majorHAnsi" w:cstheme="majorBidi"/>
      <w:i/>
      <w:iCs/>
      <w:color w:val="243F60" w:themeColor="accent1" w:themeShade="7F"/>
      <w:sz w:val="22"/>
      <w:lang w:val="hr-HR" w:eastAsia="en-US"/>
    </w:rPr>
  </w:style>
  <w:style w:type="character" w:customStyle="1" w:styleId="Heading7Char">
    <w:name w:val="Heading 7 Char"/>
    <w:basedOn w:val="DefaultParagraphFont"/>
    <w:link w:val="Heading7"/>
    <w:uiPriority w:val="9"/>
    <w:semiHidden/>
    <w:rsid w:val="005F5225"/>
    <w:rPr>
      <w:rFonts w:asciiTheme="majorHAnsi" w:eastAsiaTheme="majorEastAsia" w:hAnsiTheme="majorHAnsi" w:cstheme="majorBidi"/>
      <w:i/>
      <w:iCs/>
      <w:color w:val="404040" w:themeColor="text1" w:themeTint="BF"/>
      <w:sz w:val="22"/>
      <w:lang w:val="hr-HR" w:eastAsia="en-US"/>
    </w:rPr>
  </w:style>
  <w:style w:type="character" w:customStyle="1" w:styleId="Heading8Char">
    <w:name w:val="Heading 8 Char"/>
    <w:basedOn w:val="DefaultParagraphFont"/>
    <w:link w:val="Heading8"/>
    <w:uiPriority w:val="9"/>
    <w:semiHidden/>
    <w:rsid w:val="005F5225"/>
    <w:rPr>
      <w:rFonts w:asciiTheme="majorHAnsi" w:eastAsiaTheme="majorEastAsia" w:hAnsiTheme="majorHAnsi" w:cstheme="majorBidi"/>
      <w:color w:val="404040" w:themeColor="text1" w:themeTint="BF"/>
      <w:lang w:val="hr-HR" w:eastAsia="en-US"/>
    </w:rPr>
  </w:style>
  <w:style w:type="character" w:customStyle="1" w:styleId="Heading9Char">
    <w:name w:val="Heading 9 Char"/>
    <w:basedOn w:val="DefaultParagraphFont"/>
    <w:link w:val="Heading9"/>
    <w:uiPriority w:val="9"/>
    <w:semiHidden/>
    <w:rsid w:val="005F5225"/>
    <w:rPr>
      <w:rFonts w:asciiTheme="majorHAnsi" w:eastAsiaTheme="majorEastAsia" w:hAnsiTheme="majorHAnsi" w:cstheme="majorBidi"/>
      <w:i/>
      <w:iCs/>
      <w:color w:val="404040" w:themeColor="text1" w:themeTint="BF"/>
      <w:lang w:val="hr-HR" w:eastAsia="en-US"/>
    </w:rPr>
  </w:style>
  <w:style w:type="paragraph" w:styleId="Footer">
    <w:name w:val="footer"/>
    <w:basedOn w:val="Normal"/>
    <w:link w:val="FooterChar"/>
    <w:uiPriority w:val="99"/>
    <w:rsid w:val="00703338"/>
  </w:style>
  <w:style w:type="character" w:customStyle="1" w:styleId="FooterChar">
    <w:name w:val="Footer Char"/>
    <w:basedOn w:val="DefaultParagraphFont"/>
    <w:link w:val="Footer"/>
    <w:uiPriority w:val="99"/>
    <w:rsid w:val="005F5225"/>
    <w:rPr>
      <w:sz w:val="22"/>
      <w:lang w:eastAsia="en-US"/>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o"/>
    <w:basedOn w:val="Normal"/>
    <w:link w:val="FootnoteTextChar"/>
    <w:uiPriority w:val="99"/>
    <w:qFormat/>
    <w:rsid w:val="00703338"/>
    <w:pPr>
      <w:keepLines/>
      <w:spacing w:after="60" w:line="240" w:lineRule="auto"/>
      <w:ind w:left="720" w:hanging="720"/>
    </w:pPr>
    <w:rPr>
      <w:sz w:val="16"/>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sid w:val="005F5225"/>
    <w:rPr>
      <w:lang w:val="hr-HR" w:eastAsia="en-US"/>
    </w:rPr>
  </w:style>
  <w:style w:type="paragraph" w:styleId="Header">
    <w:name w:val="header"/>
    <w:basedOn w:val="Normal"/>
    <w:link w:val="HeaderChar"/>
    <w:uiPriority w:val="99"/>
    <w:qFormat/>
    <w:rsid w:val="00703338"/>
  </w:style>
  <w:style w:type="character" w:customStyle="1" w:styleId="HeaderChar">
    <w:name w:val="Header Char"/>
    <w:basedOn w:val="DefaultParagraphFont"/>
    <w:link w:val="Header"/>
    <w:uiPriority w:val="99"/>
    <w:rsid w:val="005F5225"/>
    <w:rPr>
      <w:sz w:val="22"/>
      <w:lang w:eastAsia="en-US"/>
    </w:rPr>
  </w:style>
  <w:style w:type="paragraph" w:customStyle="1" w:styleId="quotes">
    <w:name w:val="quotes"/>
    <w:basedOn w:val="Normal"/>
    <w:next w:val="Normal"/>
    <w:rsid w:val="00703338"/>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qFormat/>
    <w:rsid w:val="00703338"/>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BalloonText">
    <w:name w:val="Balloon Text"/>
    <w:basedOn w:val="Normal"/>
    <w:link w:val="BalloonTextChar"/>
    <w:rsid w:val="003C4D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4D05"/>
    <w:rPr>
      <w:rFonts w:ascii="Tahoma" w:hAnsi="Tahoma" w:cs="Tahoma"/>
      <w:sz w:val="16"/>
      <w:szCs w:val="16"/>
      <w:lang w:val="hr-HR" w:eastAsia="en-US"/>
    </w:rPr>
  </w:style>
  <w:style w:type="paragraph" w:styleId="ListParagraph">
    <w:name w:val="List Paragraph"/>
    <w:basedOn w:val="Normal"/>
    <w:uiPriority w:val="34"/>
    <w:qFormat/>
    <w:rsid w:val="00DF2221"/>
    <w:pPr>
      <w:overflowPunct/>
      <w:autoSpaceDE/>
      <w:autoSpaceDN/>
      <w:adjustRightInd/>
      <w:ind w:left="720"/>
      <w:contextualSpacing/>
      <w:textAlignment w:val="auto"/>
    </w:pPr>
    <w:rPr>
      <w:rFonts w:eastAsia="Times New Roman"/>
      <w:szCs w:val="22"/>
    </w:rPr>
  </w:style>
  <w:style w:type="paragraph" w:customStyle="1" w:styleId="Body">
    <w:name w:val="Body"/>
    <w:rsid w:val="00DF2221"/>
    <w:pPr>
      <w:spacing w:line="288" w:lineRule="auto"/>
      <w:jc w:val="both"/>
    </w:pPr>
    <w:rPr>
      <w:rFonts w:eastAsia="Times New Roman"/>
      <w:color w:val="000000"/>
      <w:sz w:val="22"/>
      <w:szCs w:val="22"/>
      <w:u w:color="000000"/>
      <w:lang w:eastAsia="en-GB"/>
    </w:rPr>
  </w:style>
  <w:style w:type="character" w:customStyle="1" w:styleId="q4iawc">
    <w:name w:val="q4iawc"/>
    <w:basedOn w:val="DefaultParagraphFont"/>
    <w:rsid w:val="00DF2221"/>
  </w:style>
  <w:style w:type="character" w:customStyle="1" w:styleId="pointer">
    <w:name w:val="pointer"/>
    <w:basedOn w:val="DefaultParagraphFont"/>
    <w:rsid w:val="00452C61"/>
  </w:style>
  <w:style w:type="table" w:styleId="TableGrid">
    <w:name w:val="Table Grid"/>
    <w:basedOn w:val="TableNormal"/>
    <w:rsid w:val="00E6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semiHidden/>
    <w:rsid w:val="00286FB9"/>
    <w:rPr>
      <w:lang w:eastAsia="en-US"/>
    </w:rPr>
  </w:style>
  <w:style w:type="paragraph" w:styleId="CommentSubject">
    <w:name w:val="annotation subject"/>
    <w:basedOn w:val="CommentText"/>
    <w:next w:val="CommentText"/>
    <w:link w:val="CommentSubjectChar"/>
    <w:semiHidden/>
    <w:unhideWhenUsed/>
    <w:rsid w:val="00286FB9"/>
    <w:rPr>
      <w:b/>
      <w:bCs/>
    </w:rPr>
  </w:style>
  <w:style w:type="character" w:customStyle="1" w:styleId="CommentSubjectChar">
    <w:name w:val="Comment Subject Char"/>
    <w:basedOn w:val="CommentTextChar"/>
    <w:link w:val="CommentSubject"/>
    <w:semiHidden/>
    <w:rsid w:val="00286FB9"/>
    <w:rPr>
      <w:b/>
      <w:bCs/>
      <w:lang w:eastAsia="en-US"/>
    </w:rPr>
  </w:style>
  <w:style w:type="character" w:customStyle="1" w:styleId="UnresolvedMention">
    <w:name w:val="Unresolved Mention"/>
    <w:basedOn w:val="DefaultParagraphFont"/>
    <w:uiPriority w:val="99"/>
    <w:semiHidden/>
    <w:unhideWhenUsed/>
    <w:rsid w:val="008D438A"/>
    <w:rPr>
      <w:color w:val="605E5C"/>
      <w:shd w:val="clear" w:color="auto" w:fill="E1DFDD"/>
    </w:rPr>
  </w:style>
  <w:style w:type="paragraph" w:styleId="Revision">
    <w:name w:val="Revision"/>
    <w:hidden/>
    <w:uiPriority w:val="99"/>
    <w:semiHidden/>
    <w:rsid w:val="00D6686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7555">
      <w:bodyDiv w:val="1"/>
      <w:marLeft w:val="0"/>
      <w:marRight w:val="0"/>
      <w:marTop w:val="0"/>
      <w:marBottom w:val="0"/>
      <w:divBdr>
        <w:top w:val="none" w:sz="0" w:space="0" w:color="auto"/>
        <w:left w:val="none" w:sz="0" w:space="0" w:color="auto"/>
        <w:bottom w:val="none" w:sz="0" w:space="0" w:color="auto"/>
        <w:right w:val="none" w:sz="0" w:space="0" w:color="auto"/>
      </w:divBdr>
    </w:div>
    <w:div w:id="889923881">
      <w:bodyDiv w:val="1"/>
      <w:marLeft w:val="0"/>
      <w:marRight w:val="0"/>
      <w:marTop w:val="0"/>
      <w:marBottom w:val="0"/>
      <w:divBdr>
        <w:top w:val="none" w:sz="0" w:space="0" w:color="auto"/>
        <w:left w:val="none" w:sz="0" w:space="0" w:color="auto"/>
        <w:bottom w:val="none" w:sz="0" w:space="0" w:color="auto"/>
        <w:right w:val="none" w:sz="0" w:space="0" w:color="auto"/>
      </w:divBdr>
    </w:div>
    <w:div w:id="991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hyperlink" Target="https://ec.europa.eu/environment/industry/stationary/ied/legislation.htm" TargetMode="External"/><Relationship Id="rId31"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ea.europa.eu/publications/climate-change-adaptation-and-disaster" TargetMode="External"/><Relationship Id="rId2" Type="http://schemas.openxmlformats.org/officeDocument/2006/relationships/hyperlink" Target="https://report.ipcc.ch/ar6wg2/pdf/IPCC_AR6_WGII_FinalDraft_FullReport.pdf" TargetMode="External"/><Relationship Id="rId1" Type="http://schemas.openxmlformats.org/officeDocument/2006/relationships/hyperlink" Target="https://eur-lex.europa.eu/legal-content/HR/TXT/?uri=COM%3A2021%3A82%3AFIN" TargetMode="External"/><Relationship Id="rId6" Type="http://schemas.openxmlformats.org/officeDocument/2006/relationships/hyperlink" Target="https://publications.jrc.ec.europa.eu/repository/handle/JRC120383" TargetMode="External"/><Relationship Id="rId5" Type="http://schemas.openxmlformats.org/officeDocument/2006/relationships/hyperlink" Target="https://www.oecd.org/environment/green-budgeting/" TargetMode="External"/><Relationship Id="rId4" Type="http://schemas.openxmlformats.org/officeDocument/2006/relationships/hyperlink" Target="https://climate-adapt.eea.europa.eu/eu-adaptation-policy/sector-policies/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CYZ3CSFTTJZN-672390315-8399</_dlc_DocId>
    <_dlc_DocIdUrl xmlns="a5cee624-e552-4ccf-bb43-73febcb5c274">
      <Url>http://dm/cor/2022/_layouts/15/DocIdRedir.aspx?ID=CYZ3CSFTTJZN-672390315-8399</Url>
      <Description>CYZ3CSFTTJZN-672390315-8399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2022-07-12T12:00:00+00:00</ProductionDate>
    <DocumentNumber xmlns="a4c26c85-73bf-4fe6-98cf-b6bdfbba8f9f">104</DocumentNumber>
    <FicheYear xmlns="a5cee624-e552-4ccf-bb43-73febcb5c274" xsi:nil="true"/>
    <DocumentVersion xmlns="a5cee624-e552-4ccf-bb43-73febcb5c274">0</DocumentVersion>
    <DossierNumber xmlns="a5cee624-e552-4ccf-bb43-73febcb5c274">27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100</Value>
      <Value>69</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Rapporteur xmlns="a5cee624-e552-4ccf-bb43-73febcb5c274">ZDANOWSKA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8342</FicheNumber>
    <OriginalSender xmlns="a5cee624-e552-4ccf-bb43-73febcb5c274">
      <UserInfo>
        <DisplayName>Knezovic Zrinka</DisplayName>
        <AccountId>1871</AccountId>
        <AccountType/>
      </UserInfo>
    </OriginalSender>
    <DocumentPart xmlns="a5cee624-e552-4ccf-bb43-73febcb5c274">0</DocumentPart>
    <AdoptionDate xmlns="a5cee624-e552-4ccf-bb43-73febcb5c274">2022-06-30T12:00:00+00:00</AdoptionDate>
    <RequestingService xmlns="a5cee624-e552-4ccf-bb43-73febcb5c274">Commission ENVE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4c26c85-73bf-4fe6-98cf-b6bdfbba8f9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ENVE-VII</TermName>
          <TermId xmlns="http://schemas.microsoft.com/office/infopath/2007/PartnerControls">6ee8e51f-c3cc-464b-aceb-beb6545d7e0a</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CA1ABB3EFB2B44F8C6CFCB48C13B492" ma:contentTypeVersion="4" ma:contentTypeDescription="Defines the documents for Document Manager V2" ma:contentTypeScope="" ma:versionID="8eb991e749fe6b2f8bb0fecbe032052a">
  <xsd:schema xmlns:xsd="http://www.w3.org/2001/XMLSchema" xmlns:xs="http://www.w3.org/2001/XMLSchema" xmlns:p="http://schemas.microsoft.com/office/2006/metadata/properties" xmlns:ns2="a5cee624-e552-4ccf-bb43-73febcb5c274" xmlns:ns3="http://schemas.microsoft.com/sharepoint/v3/fields" xmlns:ns4="a4c26c85-73bf-4fe6-98cf-b6bdfbba8f9f" targetNamespace="http://schemas.microsoft.com/office/2006/metadata/properties" ma:root="true" ma:fieldsID="a67335dadb3113a8f1bfe35d596192b6" ns2:_="" ns3:_="" ns4:_="">
    <xsd:import namespace="a5cee624-e552-4ccf-bb43-73febcb5c274"/>
    <xsd:import namespace="http://schemas.microsoft.com/sharepoint/v3/fields"/>
    <xsd:import namespace="a4c26c85-73bf-4fe6-98cf-b6bdfbba8f9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26c85-73bf-4fe6-98cf-b6bdfbba8f9f"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8C142-5A54-40C8-965E-2911C56B97D2}"/>
</file>

<file path=customXml/itemProps2.xml><?xml version="1.0" encoding="utf-8"?>
<ds:datastoreItem xmlns:ds="http://schemas.openxmlformats.org/officeDocument/2006/customXml" ds:itemID="{10874CA0-2578-45A4-A83F-5077788F01EC}"/>
</file>

<file path=customXml/itemProps3.xml><?xml version="1.0" encoding="utf-8"?>
<ds:datastoreItem xmlns:ds="http://schemas.openxmlformats.org/officeDocument/2006/customXml" ds:itemID="{FC26F82F-0811-4EC3-9CC7-A290F3329224}"/>
</file>

<file path=customXml/itemProps4.xml><?xml version="1.0" encoding="utf-8"?>
<ds:datastoreItem xmlns:ds="http://schemas.openxmlformats.org/officeDocument/2006/customXml" ds:itemID="{DC67D7FE-8C6A-481B-A9A9-8FAFAAAA2EC1}"/>
</file>

<file path=docProps/app.xml><?xml version="1.0" encoding="utf-8"?>
<Properties xmlns="http://schemas.openxmlformats.org/officeDocument/2006/extended-properties" xmlns:vt="http://schemas.openxmlformats.org/officeDocument/2006/docPropsVTypes">
  <Template>Normal.dotm</Template>
  <TotalTime>4</TotalTime>
  <Pages>13</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Ecological transition - What balance between social acceptability and environmental imperatives from the point of view of cities and regions</vt:lpstr>
    </vt:vector>
  </TitlesOfParts>
  <Company>CESE-CdR</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Ekološka tranzicija - Kako sa stajališta gradova i regija uravnotežiti društvenu prihvatljivost i ekološke zahtjeve radi izgradnje otpornih zajednica?</dc:title>
  <dc:subject>AC</dc:subject>
  <dc:creator>Emma Nieddu</dc:creator>
  <cp:keywords>COR-2022-00104-00-00-AC-TRA-EN</cp:keywords>
  <dc:description>Rapporteur: ZDANOWSKA - Original language: EN - Date of document: 12/07/2022 - Date of meeting:  - External documents:  - Administrator:  GRUBIŠIĆ Mario</dc:description>
  <cp:lastModifiedBy>Knezovic Zrinka</cp:lastModifiedBy>
  <cp:revision>10</cp:revision>
  <cp:lastPrinted>2006-06-27T15:17:00Z</cp:lastPrinted>
  <dcterms:created xsi:type="dcterms:W3CDTF">2022-07-12T12:16:00Z</dcterms:created>
  <dcterms:modified xsi:type="dcterms:W3CDTF">2022-07-12T12:20:00Z</dcterms:modified>
  <cp:category>ENVE-VII/027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08/07/2022, 01/06/2022, 27/04/2022</vt:lpwstr>
  </property>
  <property fmtid="{D5CDD505-2E9C-101B-9397-08002B2CF9AE}" pid="4" name="Pref_Time">
    <vt:lpwstr>12:25:50, 11:48:19, 10:29:29</vt:lpwstr>
  </property>
  <property fmtid="{D5CDD505-2E9C-101B-9397-08002B2CF9AE}" pid="5" name="Pref_User">
    <vt:lpwstr>jhvi, enied, enied</vt:lpwstr>
  </property>
  <property fmtid="{D5CDD505-2E9C-101B-9397-08002B2CF9AE}" pid="6" name="Pref_FileName">
    <vt:lpwstr>COR-2022-00104-00-00-AC-TRA-EN-CRR.docx, COR-2022-00104-00-00-PAC-TRA-EN-CRR.docx, COR-2022-00104-00-00-PA-TRA-PL-CRR.docx</vt:lpwstr>
  </property>
  <property fmtid="{D5CDD505-2E9C-101B-9397-08002B2CF9AE}" pid="7" name="ContentTypeId">
    <vt:lpwstr>0x010100EA97B91038054C99906057A708A1480A004CA1ABB3EFB2B44F8C6CFCB48C13B492</vt:lpwstr>
  </property>
  <property fmtid="{D5CDD505-2E9C-101B-9397-08002B2CF9AE}" pid="8" name="_dlc_DocIdItemGuid">
    <vt:lpwstr>599aed92-a790-408b-9433-ae5e489ac784</vt:lpwstr>
  </property>
  <property fmtid="{D5CDD505-2E9C-101B-9397-08002B2CF9AE}" pid="9" name="AvailableTranslations">
    <vt:lpwstr>41;#ET|ff6c3f4c-b02c-4c3c-ab07-2c37995a7a0a;#14;#SV|c2ed69e7-a339-43d7-8f22-d93680a92aa0;#27;#HU|6b229040-c589-4408-b4c1-4285663d20a8;#28;#MT|7df99101-6854-4a26-b53a-b88c0da02c26;#17;#FI|87606a43-d45f-42d6-b8c9-e1a3457db5b7;#26;#ES|e7a6b05b-ae16-40c8-add9-68b64b03aeba;#30;#RO|feb747a2-64cd-4299-af12-4833ddc30497;#11;#PL|1e03da61-4678-4e07-b136-b5024ca9197b;#40;#GA|762d2456-c427-4ecb-b312-af3dad8e258c;#35;#LT|a7ff5ce7-6123-4f68-865a-a57c31810414;#21;#EL|6d4f4d51-af9b-4650-94b4-4276bee85c91;#33;#FR|d2afafd3-4c81-4f60-8f52-ee33f2f54ff3;#22;#DA|5d49c027-8956-412b-aa16-e85a0f96ad0e;#20;#SK|46d9fce0-ef79-4f71-b89b-cd6aa82426b8;#18;#DE|f6b31e5a-26fa-4935-b661-318e46daf27e;#38;#HR|2f555653-ed1a-4fe6-8362-9082d95989e5;#24;#PT|50ccc04a-eadd-42ae-a0cb-acaf45f812ba;#34;#SL|98a412ae-eb01-49e9-ae3d-585a81724cfc;#23;#BG|1a1b3951-7821-4e6a-85f5-5673fc08bd2c;#19;#NL|55c6556c-b4f4-441d-9acf-c498d4f838bd;#25;#CS|72f9705b-0217-4fd3-bea2-cbc7ed80e26e;#4;#EN|f2175f21-25d7-44a3-96da-d6a61b075e1b;#29;#LV|46f7e311-5d9f-4663-b433-18aeccb7ace7;#15;#IT|0774613c-01ed-4e5d-a25d-11d2388de825</vt:lpwstr>
  </property>
  <property fmtid="{D5CDD505-2E9C-101B-9397-08002B2CF9AE}" pid="10" name="DocumentType_0">
    <vt:lpwstr>AC|a4cc1d15-fb08-4679-ad46-e4e0cba5fe92</vt:lpwstr>
  </property>
  <property fmtid="{D5CDD505-2E9C-101B-9397-08002B2CF9AE}" pid="12" name="DocumentSource_0">
    <vt:lpwstr>CoR|cb2d75ef-4a7d-4393-b797-49ed6298a5ea</vt:lpwstr>
  </property>
  <property fmtid="{D5CDD505-2E9C-101B-9397-08002B2CF9AE}" pid="13" name="ProductionDate">
    <vt:filetime>2022-07-12T12:00:00Z</vt:filetime>
  </property>
  <property fmtid="{D5CDD505-2E9C-101B-9397-08002B2CF9AE}" pid="14" name="DocumentNumber">
    <vt:i4>104</vt:i4>
  </property>
  <property fmtid="{D5CDD505-2E9C-101B-9397-08002B2CF9AE}" pid="16" name="DocumentVersion">
    <vt:i4>0</vt:i4>
  </property>
  <property fmtid="{D5CDD505-2E9C-101B-9397-08002B2CF9AE}" pid="17" name="DossierNumber">
    <vt:i4>27</vt:i4>
  </property>
  <property fmtid="{D5CDD505-2E9C-101B-9397-08002B2CF9AE}" pid="18" name="DocumentStatus">
    <vt:lpwstr>2;#TRA|150d2a88-1431-44e6-a8ca-0bb753ab8672</vt:lpwstr>
  </property>
  <property fmtid="{D5CDD505-2E9C-101B-9397-08002B2CF9AE}" pid="19" name="DossierName">
    <vt:lpwstr>69;#ENVE-VII|6ee8e51f-c3cc-464b-aceb-beb6545d7e0a</vt:lpwstr>
  </property>
  <property fmtid="{D5CDD505-2E9C-101B-9397-08002B2CF9AE}" pid="20" name="Confidentiality_0">
    <vt:lpwstr>Unrestricted|826e22d7-d029-4ec0-a450-0c28ff673572</vt:lpwstr>
  </property>
  <property fmtid="{D5CDD505-2E9C-101B-9397-08002B2CF9AE}" pid="21" name="Confidentiality">
    <vt:lpwstr>8;#Unrestricted|826e22d7-d029-4ec0-a450-0c28ff673572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5" name="TaxCatchAll">
    <vt:lpwstr>33;#FR|d2afafd3-4c81-4f60-8f52-ee33f2f54ff3;#69;#ENVE-VII|6ee8e51f-c3cc-464b-aceb-beb6545d7e0a;#30;#RO|feb747a2-64cd-4299-af12-4833ddc30497;#28;#MT|7df99101-6854-4a26-b53a-b88c0da02c26;#27;#HU|6b229040-c589-4408-b4c1-4285663d20a8;#26;#ES|e7a6b05b-ae16-40c8-add9-68b64b03aeba;#25;#CS|72f9705b-0217-4fd3-bea2-cbc7ed80e26e;#38;#HR|2f555653-ed1a-4fe6-8362-9082d95989e5;#23;#BG|1a1b3951-7821-4e6a-85f5-5673fc08bd2c;#22;#DA|5d49c027-8956-412b-aa16-e85a0f96ad0e;#21;#EL|6d4f4d51-af9b-4650-94b4-4276bee85c91;#20;#SK|46d9fce0-ef79-4f71-b89b-cd6aa82426b8;#19;#NL|55c6556c-b4f4-441d-9acf-c498d4f838bd;#18;#DE|f6b31e5a-26fa-4935-b661-318e46daf27e;#15;#IT|0774613c-01ed-4e5d-a25d-11d2388de825;#100;#AC|a4cc1d15-fb08-4679-ad46-e4e0cba5fe92;#8;#Unrestricted|826e22d7-d029-4ec0-a450-0c28ff673572;#6;#Final|ea5e6674-7b27-4bac-b091-73adbb394efe;#4;#EN|f2175f21-25d7-44a3-96da-d6a61b075e1b;#2;#TRA|150d2a88-1431-44e6-a8ca-0bb753ab8672;#1;#CoR|cb2d75ef-4a7d-4393-b797-49ed6298a5ea;#24;#PT|50ccc04a-eadd-42ae-a0cb-acaf45f812ba</vt:lpwstr>
  </property>
  <property fmtid="{D5CDD505-2E9C-101B-9397-08002B2CF9AE}" pid="26" name="DocumentLanguage_0">
    <vt:lpwstr>HR|2f555653-ed1a-4fe6-8362-9082d95989e5</vt:lpwstr>
  </property>
  <property fmtid="{D5CDD505-2E9C-101B-9397-08002B2CF9AE}" pid="27" name="Rapporteur">
    <vt:lpwstr>ZDANOWSKA</vt:lpwstr>
  </property>
  <property fmtid="{D5CDD505-2E9C-101B-9397-08002B2CF9AE}" pid="28" name="VersionStatus_0">
    <vt:lpwstr>Final|ea5e6674-7b27-4bac-b091-73adbb394efe</vt:lpwstr>
  </property>
  <property fmtid="{D5CDD505-2E9C-101B-9397-08002B2CF9AE}" pid="29" name="VersionStatus">
    <vt:lpwstr>6;#Final|ea5e6674-7b27-4bac-b091-73adbb394efe</vt:lpwstr>
  </property>
  <property fmtid="{D5CDD505-2E9C-101B-9397-08002B2CF9AE}" pid="30" name="DocumentYear">
    <vt:i4>2022</vt:i4>
  </property>
  <property fmtid="{D5CDD505-2E9C-101B-9397-08002B2CF9AE}" pid="31" name="FicheNumber">
    <vt:i4>8342</vt:i4>
  </property>
  <property fmtid="{D5CDD505-2E9C-101B-9397-08002B2CF9AE}" pid="32" name="OriginalSender">
    <vt:lpwstr>1871;#Knezovic Zrinka</vt:lpwstr>
  </property>
  <property fmtid="{D5CDD505-2E9C-101B-9397-08002B2CF9AE}" pid="33" name="DocumentPart">
    <vt:i4>0</vt:i4>
  </property>
  <property fmtid="{D5CDD505-2E9C-101B-9397-08002B2CF9AE}" pid="34" name="DocumentSource">
    <vt:lpwstr>1;#CoR|cb2d75ef-4a7d-4393-b797-49ed6298a5ea</vt:lpwstr>
  </property>
  <property fmtid="{D5CDD505-2E9C-101B-9397-08002B2CF9AE}" pid="35" name="AdoptionDate">
    <vt:filetime>2022-06-30T12:00:00Z</vt:filetime>
  </property>
  <property fmtid="{D5CDD505-2E9C-101B-9397-08002B2CF9AE}" pid="36" name="DocumentType">
    <vt:lpwstr>100;#AC|a4cc1d15-fb08-4679-ad46-e4e0cba5fe92</vt:lpwstr>
  </property>
  <property fmtid="{D5CDD505-2E9C-101B-9397-08002B2CF9AE}" pid="37" name="RequestingService">
    <vt:lpwstr>Commission ENVE</vt:lpwstr>
  </property>
  <property fmtid="{D5CDD505-2E9C-101B-9397-08002B2CF9AE}" pid="39" name="DocumentLanguage">
    <vt:lpwstr>38;#HR|2f555653-ed1a-4fe6-8362-9082d95989e5</vt:lpwstr>
  </property>
  <property fmtid="{D5CDD505-2E9C-101B-9397-08002B2CF9AE}" pid="40" name="AvailableTranslations_0">
    <vt:lpwstr>HU|6b229040-c589-4408-b4c1-4285663d20a8;MT|7df99101-6854-4a26-b53a-b88c0da02c26;ES|e7a6b05b-ae16-40c8-add9-68b64b03aeba;RO|feb747a2-64cd-4299-af12-4833ddc30497;EL|6d4f4d51-af9b-4650-94b4-4276bee85c91;FR|d2afafd3-4c81-4f60-8f52-ee33f2f54ff3;DA|5d49c027-8956-412b-aa16-e85a0f96ad0e;SK|46d9fce0-ef79-4f71-b89b-cd6aa82426b8;DE|f6b31e5a-26fa-4935-b661-318e46daf27e;HR|2f555653-ed1a-4fe6-8362-9082d95989e5;PT|50ccc04a-eadd-42ae-a0cb-acaf45f812ba;BG|1a1b3951-7821-4e6a-85f5-5673fc08bd2c;NL|55c6556c-b4f4-441d-9acf-c498d4f838bd;CS|72f9705b-0217-4fd3-bea2-cbc7ed80e26e;EN|f2175f21-25d7-44a3-96da-d6a61b075e1b;IT|0774613c-01ed-4e5d-a25d-11d2388de825</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4" name="DossierName_0">
    <vt:lpwstr>ENVE-VII|6ee8e51f-c3cc-464b-aceb-beb6545d7e0a</vt:lpwstr>
  </property>
  <property fmtid="{D5CDD505-2E9C-101B-9397-08002B2CF9AE}" pid="48" name="MeetingName_0">
    <vt:lpwstr/>
  </property>
</Properties>
</file>